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4C2F1" w14:textId="77777777" w:rsidR="009641FB" w:rsidRDefault="009641FB">
      <w:pPr>
        <w:rPr>
          <w:rFonts w:ascii="Calibri" w:hAnsi="Calibri"/>
          <w:b/>
          <w:bCs/>
        </w:rPr>
      </w:pPr>
    </w:p>
    <w:p w14:paraId="425ECFDE" w14:textId="6E8A2BC7" w:rsidR="00FC4004" w:rsidRDefault="006E0BA1">
      <w:pPr>
        <w:rPr>
          <w:rFonts w:ascii="Calibri" w:eastAsia="Calibri" w:hAnsi="Calibri" w:cs="Calibri"/>
          <w:b/>
          <w:bCs/>
          <w:sz w:val="40"/>
          <w:szCs w:val="40"/>
        </w:rPr>
      </w:pPr>
      <w:r>
        <w:rPr>
          <w:rFonts w:ascii="Calibri" w:hAnsi="Calibri"/>
          <w:b/>
          <w:bCs/>
        </w:rPr>
        <w:t>Huurwoningmarkt Q2 2022</w:t>
      </w:r>
      <w:r>
        <w:rPr>
          <w:rFonts w:ascii="Calibri" w:eastAsia="Calibri" w:hAnsi="Calibri" w:cs="Calibri"/>
          <w:b/>
          <w:bCs/>
        </w:rPr>
        <w:br/>
      </w:r>
      <w:r w:rsidR="0078771A">
        <w:rPr>
          <w:rFonts w:ascii="Calibri" w:hAnsi="Calibri"/>
          <w:b/>
          <w:bCs/>
          <w:sz w:val="36"/>
          <w:szCs w:val="36"/>
        </w:rPr>
        <w:t>Transactieh</w:t>
      </w:r>
      <w:r>
        <w:rPr>
          <w:rFonts w:ascii="Calibri" w:hAnsi="Calibri"/>
          <w:b/>
          <w:bCs/>
          <w:sz w:val="36"/>
          <w:szCs w:val="36"/>
        </w:rPr>
        <w:t>uurprijzen stijgen verder door</w:t>
      </w:r>
      <w:r>
        <w:rPr>
          <w:rFonts w:ascii="Calibri" w:hAnsi="Calibri"/>
          <w:b/>
          <w:bCs/>
          <w:sz w:val="40"/>
          <w:szCs w:val="40"/>
        </w:rPr>
        <w:t xml:space="preserve"> </w:t>
      </w:r>
    </w:p>
    <w:p w14:paraId="425ECFDF" w14:textId="77777777" w:rsidR="00FC4004" w:rsidRDefault="00FC4004">
      <w:pPr>
        <w:rPr>
          <w:rFonts w:ascii="Calibri" w:eastAsia="Calibri" w:hAnsi="Calibri" w:cs="Calibri"/>
          <w:b/>
          <w:bCs/>
          <w:sz w:val="20"/>
          <w:szCs w:val="20"/>
        </w:rPr>
      </w:pPr>
    </w:p>
    <w:p w14:paraId="425ECFE1" w14:textId="467ED74E" w:rsidR="00FC4004" w:rsidRDefault="006E0BA1">
      <w:pPr>
        <w:rPr>
          <w:rFonts w:ascii="Calibri" w:eastAsia="Calibri" w:hAnsi="Calibri" w:cs="Calibri"/>
          <w:b/>
          <w:bCs/>
          <w:sz w:val="20"/>
          <w:szCs w:val="20"/>
        </w:rPr>
      </w:pPr>
      <w:r w:rsidRPr="0093114A">
        <w:rPr>
          <w:rFonts w:ascii="Calibri" w:hAnsi="Calibri"/>
          <w:b/>
          <w:bCs/>
          <w:i/>
          <w:iCs/>
          <w:sz w:val="20"/>
          <w:szCs w:val="20"/>
        </w:rPr>
        <w:t>Utrecht, 4 juli 2022</w:t>
      </w:r>
      <w:r>
        <w:rPr>
          <w:rFonts w:ascii="Calibri" w:hAnsi="Calibri"/>
          <w:b/>
          <w:bCs/>
          <w:sz w:val="20"/>
          <w:szCs w:val="20"/>
        </w:rPr>
        <w:t xml:space="preserve"> – NVM en VGM NL maken vandaag de nieuwste kwartaalcijfers transactiedata vrije sector huurwoningen bekend. Het aantal geregistreerde huurtransacties is in het tweede kwartaal van 2022 met zo’n 5% gestegen vergeleken met het eerste kwartaal van 2022. De gemiddelde vierkante meterprijs bij nieuwe verhuringen blijft doorstijgen. In de geliberaliseerde sector, dus woningen met een kale huurprijs van meer dan 763 euro per maand, steeg </w:t>
      </w:r>
      <w:r w:rsidRPr="00C8400E">
        <w:rPr>
          <w:rFonts w:ascii="Calibri" w:hAnsi="Calibri"/>
          <w:b/>
          <w:bCs/>
          <w:sz w:val="20"/>
          <w:szCs w:val="20"/>
        </w:rPr>
        <w:t xml:space="preserve">de </w:t>
      </w:r>
      <w:r w:rsidR="00C8400E" w:rsidRPr="00C8400E">
        <w:rPr>
          <w:rFonts w:ascii="Calibri" w:hAnsi="Calibri"/>
          <w:b/>
          <w:bCs/>
          <w:sz w:val="20"/>
          <w:szCs w:val="20"/>
        </w:rPr>
        <w:t>m²</w:t>
      </w:r>
      <w:r w:rsidRPr="00C8400E">
        <w:rPr>
          <w:rFonts w:ascii="Calibri" w:hAnsi="Calibri"/>
          <w:b/>
          <w:bCs/>
          <w:sz w:val="20"/>
          <w:szCs w:val="20"/>
        </w:rPr>
        <w:t>-prijs</w:t>
      </w:r>
      <w:r>
        <w:rPr>
          <w:rFonts w:ascii="Calibri" w:hAnsi="Calibri"/>
          <w:b/>
          <w:bCs/>
          <w:sz w:val="20"/>
          <w:szCs w:val="20"/>
        </w:rPr>
        <w:t xml:space="preserve"> </w:t>
      </w:r>
      <w:r w:rsidR="005E3118">
        <w:rPr>
          <w:rFonts w:ascii="Calibri" w:hAnsi="Calibri"/>
          <w:b/>
          <w:bCs/>
          <w:sz w:val="20"/>
          <w:szCs w:val="20"/>
        </w:rPr>
        <w:t>ten opzichte van een jaar eerder</w:t>
      </w:r>
      <w:r>
        <w:rPr>
          <w:rFonts w:ascii="Calibri" w:hAnsi="Calibri"/>
          <w:b/>
          <w:bCs/>
          <w:sz w:val="20"/>
          <w:szCs w:val="20"/>
        </w:rPr>
        <w:t xml:space="preserve"> met </w:t>
      </w:r>
      <w:r w:rsidR="005E3118">
        <w:rPr>
          <w:rFonts w:ascii="Calibri" w:hAnsi="Calibri"/>
          <w:b/>
          <w:bCs/>
          <w:sz w:val="20"/>
          <w:szCs w:val="20"/>
        </w:rPr>
        <w:t>11</w:t>
      </w:r>
      <w:r>
        <w:rPr>
          <w:rFonts w:ascii="Calibri" w:hAnsi="Calibri"/>
          <w:b/>
          <w:bCs/>
          <w:sz w:val="20"/>
          <w:szCs w:val="20"/>
        </w:rPr>
        <w:t>,</w:t>
      </w:r>
      <w:r w:rsidR="005E3118">
        <w:rPr>
          <w:rFonts w:ascii="Calibri" w:hAnsi="Calibri"/>
          <w:b/>
          <w:bCs/>
          <w:sz w:val="20"/>
          <w:szCs w:val="20"/>
        </w:rPr>
        <w:t>8</w:t>
      </w:r>
      <w:r>
        <w:rPr>
          <w:rFonts w:ascii="Calibri" w:hAnsi="Calibri"/>
          <w:b/>
          <w:bCs/>
          <w:sz w:val="20"/>
          <w:szCs w:val="20"/>
        </w:rPr>
        <w:t>%, de hoogste prijsstijging in één jaar tijd sinds de metingen in 2014 begonnen. Een grote bijdrage aan de</w:t>
      </w:r>
      <w:r w:rsidR="008F6558">
        <w:rPr>
          <w:rFonts w:ascii="Calibri" w:hAnsi="Calibri"/>
          <w:b/>
          <w:bCs/>
          <w:sz w:val="20"/>
          <w:szCs w:val="20"/>
        </w:rPr>
        <w:t>ze</w:t>
      </w:r>
      <w:r>
        <w:rPr>
          <w:rFonts w:ascii="Calibri" w:hAnsi="Calibri"/>
          <w:b/>
          <w:bCs/>
          <w:sz w:val="20"/>
          <w:szCs w:val="20"/>
        </w:rPr>
        <w:t xml:space="preserve"> prijsstijging is het relatief grote aandeel aan nieuwbouwwoningen dat afgelopen </w:t>
      </w:r>
      <w:r w:rsidR="0007728D">
        <w:rPr>
          <w:rFonts w:ascii="Calibri" w:hAnsi="Calibri"/>
          <w:b/>
          <w:bCs/>
          <w:sz w:val="20"/>
          <w:szCs w:val="20"/>
        </w:rPr>
        <w:t xml:space="preserve">periode </w:t>
      </w:r>
      <w:r>
        <w:rPr>
          <w:rFonts w:ascii="Calibri" w:hAnsi="Calibri"/>
          <w:b/>
          <w:bCs/>
          <w:sz w:val="20"/>
          <w:szCs w:val="20"/>
        </w:rPr>
        <w:t>is verhuurd. Inmiddels is zo’n 25% van de verhuringen een nieuwbouwwoning</w:t>
      </w:r>
      <w:r w:rsidR="001D05A6">
        <w:rPr>
          <w:rFonts w:ascii="Calibri" w:hAnsi="Calibri"/>
          <w:b/>
          <w:bCs/>
          <w:sz w:val="20"/>
          <w:szCs w:val="20"/>
        </w:rPr>
        <w:t>.</w:t>
      </w:r>
      <w:r w:rsidR="004E54CE">
        <w:rPr>
          <w:rFonts w:ascii="Calibri" w:hAnsi="Calibri"/>
          <w:b/>
          <w:bCs/>
          <w:sz w:val="20"/>
          <w:szCs w:val="20"/>
        </w:rPr>
        <w:t xml:space="preserve"> </w:t>
      </w:r>
      <w:r>
        <w:rPr>
          <w:rFonts w:ascii="Calibri" w:hAnsi="Calibri"/>
          <w:b/>
          <w:bCs/>
          <w:sz w:val="20"/>
          <w:szCs w:val="20"/>
        </w:rPr>
        <w:t>In de provincies met de hoogste vierkante meterprijzen, Noord- en Zuid-Holland en Utrecht, blijft de prijsstijging</w:t>
      </w:r>
      <w:r w:rsidR="008D6CEB">
        <w:rPr>
          <w:rFonts w:ascii="Calibri" w:hAnsi="Calibri"/>
          <w:b/>
          <w:bCs/>
          <w:sz w:val="20"/>
          <w:szCs w:val="20"/>
        </w:rPr>
        <w:t xml:space="preserve"> ten opzichte van een jaar eerder,</w:t>
      </w:r>
      <w:r>
        <w:rPr>
          <w:rFonts w:ascii="Calibri" w:hAnsi="Calibri"/>
          <w:b/>
          <w:bCs/>
          <w:sz w:val="20"/>
          <w:szCs w:val="20"/>
        </w:rPr>
        <w:t xml:space="preserve"> beperkt tot maximaal 10%. In Groningen (+21,6%) en Flevoland (+27,2%) ligt de prijsontwikkeling beduidend hoger. </w:t>
      </w:r>
    </w:p>
    <w:p w14:paraId="425ECFE2" w14:textId="77777777" w:rsidR="00FC4004" w:rsidRDefault="00FC4004">
      <w:pPr>
        <w:rPr>
          <w:rFonts w:ascii="Calibri" w:eastAsia="Calibri" w:hAnsi="Calibri" w:cs="Calibri"/>
          <w:b/>
          <w:bCs/>
          <w:sz w:val="20"/>
          <w:szCs w:val="20"/>
        </w:rPr>
      </w:pPr>
    </w:p>
    <w:p w14:paraId="6A50BF74" w14:textId="0CCFD004" w:rsidR="007A3AA4" w:rsidRPr="00BC6D9A" w:rsidRDefault="007A3AA4" w:rsidP="007A3AA4">
      <w:pPr>
        <w:rPr>
          <w:rFonts w:ascii="Calibri" w:hAnsi="Calibri"/>
          <w:sz w:val="20"/>
          <w:szCs w:val="20"/>
        </w:rPr>
      </w:pPr>
      <w:r w:rsidRPr="007A3AA4">
        <w:rPr>
          <w:rFonts w:ascii="Calibri" w:hAnsi="Calibri"/>
          <w:b/>
          <w:bCs/>
          <w:sz w:val="20"/>
          <w:szCs w:val="20"/>
        </w:rPr>
        <w:t xml:space="preserve">NVM-voorzitter Onno Hoes </w:t>
      </w:r>
      <w:r w:rsidRPr="00BC6D9A">
        <w:rPr>
          <w:rFonts w:ascii="Calibri" w:hAnsi="Calibri"/>
          <w:sz w:val="20"/>
          <w:szCs w:val="20"/>
        </w:rPr>
        <w:t xml:space="preserve">ziet nog weinig licht aan de horizon “De huurmarkt wordt met deze prijsstijgingen steeds ontoegankelijker. Zowel in de huur- als in de koopsector raakt de bereikbaarheid van een woning verder uit zicht en valt de huurder met dit beleid echt tussen wal en schip. De minister is kordaat aan de slag gegaan, maar lijkt het grotere plaatje uit het oog te verliezen. Beperkende regelgeving voor beleggers zoals de opkoopbescherming en de vele maatregelen en beleidsvoornemens rond verhuur, zoals de voorgenomen regulering van het middensegment en </w:t>
      </w:r>
      <w:r w:rsidR="00F16D1B">
        <w:rPr>
          <w:rFonts w:ascii="Calibri" w:hAnsi="Calibri"/>
          <w:sz w:val="20"/>
          <w:szCs w:val="20"/>
        </w:rPr>
        <w:t xml:space="preserve">de </w:t>
      </w:r>
      <w:r w:rsidRPr="00BC6D9A">
        <w:rPr>
          <w:rFonts w:ascii="Calibri" w:hAnsi="Calibri"/>
          <w:sz w:val="20"/>
          <w:szCs w:val="20"/>
        </w:rPr>
        <w:t xml:space="preserve">door de overheid bepaalde huurprijsstijging, raken de huurmarkt in het hart. Met naar het zich laat aanzien alleen maar verliezers. We pleiten als NVM </w:t>
      </w:r>
      <w:r w:rsidR="00F16D1B">
        <w:rPr>
          <w:rFonts w:ascii="Calibri" w:hAnsi="Calibri"/>
          <w:sz w:val="20"/>
          <w:szCs w:val="20"/>
        </w:rPr>
        <w:t xml:space="preserve">samen </w:t>
      </w:r>
      <w:r w:rsidRPr="00BC6D9A">
        <w:rPr>
          <w:rFonts w:ascii="Calibri" w:hAnsi="Calibri"/>
          <w:sz w:val="20"/>
          <w:szCs w:val="20"/>
        </w:rPr>
        <w:t>met een groot aantal maatschappelijk partners al langer voor een genuanceerder pakket aan maatregelen waarbij het speelveld van huur en koop gelijker wordt getrokken. Helaas is die boodschap in Den Haag nog niet helemaal aangekomen en is de huurder daar de dupe van.”</w:t>
      </w:r>
    </w:p>
    <w:p w14:paraId="425ECFE4" w14:textId="77777777" w:rsidR="00FC4004" w:rsidRDefault="00FC4004">
      <w:pPr>
        <w:rPr>
          <w:rFonts w:ascii="Calibri" w:eastAsia="Calibri" w:hAnsi="Calibri" w:cs="Calibri"/>
          <w:sz w:val="20"/>
          <w:szCs w:val="20"/>
        </w:rPr>
      </w:pPr>
    </w:p>
    <w:p w14:paraId="7C20FEAA" w14:textId="67FCAB42" w:rsidR="006A5220" w:rsidRPr="00492085" w:rsidRDefault="006E0BA1">
      <w:pPr>
        <w:spacing w:after="160" w:line="259" w:lineRule="auto"/>
        <w:rPr>
          <w:rFonts w:ascii="Calibri" w:hAnsi="Calibri"/>
          <w:sz w:val="20"/>
          <w:szCs w:val="20"/>
        </w:rPr>
      </w:pPr>
      <w:r>
        <w:rPr>
          <w:rFonts w:ascii="Calibri" w:hAnsi="Calibri"/>
          <w:b/>
          <w:bCs/>
          <w:sz w:val="20"/>
          <w:szCs w:val="20"/>
        </w:rPr>
        <w:t>Sander Groot, voorzitter VGM NL</w:t>
      </w:r>
      <w:r w:rsidR="00814FD0">
        <w:rPr>
          <w:rFonts w:ascii="Calibri" w:hAnsi="Calibri"/>
          <w:b/>
          <w:bCs/>
          <w:sz w:val="20"/>
          <w:szCs w:val="20"/>
        </w:rPr>
        <w:t xml:space="preserve"> </w:t>
      </w:r>
      <w:r w:rsidR="00814FD0" w:rsidRPr="00492085">
        <w:rPr>
          <w:rFonts w:ascii="Calibri" w:hAnsi="Calibri"/>
          <w:sz w:val="20"/>
          <w:szCs w:val="20"/>
        </w:rPr>
        <w:t>vindt het een positief signaal dat</w:t>
      </w:r>
      <w:r w:rsidR="00814FD0">
        <w:rPr>
          <w:rFonts w:ascii="Calibri" w:hAnsi="Calibri"/>
          <w:b/>
          <w:bCs/>
          <w:sz w:val="20"/>
          <w:szCs w:val="20"/>
        </w:rPr>
        <w:t xml:space="preserve"> </w:t>
      </w:r>
      <w:r>
        <w:rPr>
          <w:rFonts w:ascii="Calibri" w:hAnsi="Calibri"/>
          <w:sz w:val="20"/>
          <w:szCs w:val="20"/>
        </w:rPr>
        <w:t xml:space="preserve">het aantal transacties weer enigszins een stijgende trend vertoont. </w:t>
      </w:r>
      <w:r w:rsidR="009641FB" w:rsidRPr="009641FB">
        <w:rPr>
          <w:rFonts w:ascii="Calibri" w:hAnsi="Calibri"/>
          <w:sz w:val="20"/>
          <w:szCs w:val="20"/>
        </w:rPr>
        <w:t xml:space="preserve">Maar hij ziet ook dat de doorstroming op de huurwoningmarkt </w:t>
      </w:r>
      <w:r w:rsidR="00A77019">
        <w:rPr>
          <w:rFonts w:ascii="Calibri" w:hAnsi="Calibri"/>
          <w:sz w:val="20"/>
          <w:szCs w:val="20"/>
        </w:rPr>
        <w:t xml:space="preserve">nog steeds stagneert, </w:t>
      </w:r>
      <w:r w:rsidR="009641FB" w:rsidRPr="009641FB">
        <w:rPr>
          <w:rFonts w:ascii="Calibri" w:hAnsi="Calibri"/>
          <w:sz w:val="20"/>
          <w:szCs w:val="20"/>
        </w:rPr>
        <w:t xml:space="preserve">mede veroorzaakt door overregulering. </w:t>
      </w:r>
      <w:r w:rsidR="00EA5A99">
        <w:rPr>
          <w:rFonts w:ascii="Calibri" w:hAnsi="Calibri"/>
          <w:sz w:val="20"/>
          <w:szCs w:val="20"/>
        </w:rPr>
        <w:t>Hierdoor</w:t>
      </w:r>
      <w:r w:rsidR="00511E64" w:rsidRPr="00492085">
        <w:rPr>
          <w:rFonts w:ascii="Calibri" w:hAnsi="Calibri"/>
          <w:sz w:val="20"/>
          <w:szCs w:val="20"/>
        </w:rPr>
        <w:t xml:space="preserve"> wordt het voor huurders alleen nog maar lastiger om aan een betaalbare huurwoning te komen. </w:t>
      </w:r>
      <w:r w:rsidR="00EA5A99">
        <w:rPr>
          <w:rFonts w:ascii="Calibri" w:hAnsi="Calibri"/>
          <w:sz w:val="20"/>
          <w:szCs w:val="20"/>
        </w:rPr>
        <w:t>“</w:t>
      </w:r>
      <w:r w:rsidR="005B524F" w:rsidRPr="00492085">
        <w:rPr>
          <w:rFonts w:ascii="Calibri" w:hAnsi="Calibri"/>
          <w:sz w:val="20"/>
          <w:szCs w:val="20"/>
        </w:rPr>
        <w:t xml:space="preserve">Het zou juist goed zijn om te zorgen voor een goed investeringsklimaat om </w:t>
      </w:r>
      <w:r w:rsidR="005B524F" w:rsidRPr="008C2513">
        <w:rPr>
          <w:rFonts w:ascii="Calibri" w:hAnsi="Calibri"/>
          <w:sz w:val="20"/>
          <w:szCs w:val="20"/>
        </w:rPr>
        <w:t>zo</w:t>
      </w:r>
      <w:r w:rsidR="00F16D1B" w:rsidRPr="008C2513">
        <w:rPr>
          <w:rFonts w:ascii="Calibri" w:hAnsi="Calibri"/>
          <w:sz w:val="20"/>
          <w:szCs w:val="20"/>
        </w:rPr>
        <w:t xml:space="preserve"> </w:t>
      </w:r>
      <w:r w:rsidR="005B524F" w:rsidRPr="008C2513">
        <w:rPr>
          <w:rFonts w:ascii="Calibri" w:hAnsi="Calibri"/>
          <w:sz w:val="20"/>
          <w:szCs w:val="20"/>
        </w:rPr>
        <w:t>meer</w:t>
      </w:r>
      <w:r w:rsidR="005B524F" w:rsidRPr="00492085">
        <w:rPr>
          <w:rFonts w:ascii="Calibri" w:hAnsi="Calibri"/>
          <w:sz w:val="20"/>
          <w:szCs w:val="20"/>
        </w:rPr>
        <w:t xml:space="preserve"> aanbod</w:t>
      </w:r>
      <w:r w:rsidR="000D13E6" w:rsidRPr="00492085">
        <w:rPr>
          <w:rFonts w:ascii="Calibri" w:hAnsi="Calibri"/>
          <w:sz w:val="20"/>
          <w:szCs w:val="20"/>
        </w:rPr>
        <w:t xml:space="preserve"> in de huursector</w:t>
      </w:r>
      <w:r w:rsidR="005B524F" w:rsidRPr="00492085">
        <w:rPr>
          <w:rFonts w:ascii="Calibri" w:hAnsi="Calibri"/>
          <w:sz w:val="20"/>
          <w:szCs w:val="20"/>
        </w:rPr>
        <w:t xml:space="preserve"> te </w:t>
      </w:r>
      <w:r w:rsidR="000D13E6" w:rsidRPr="00492085">
        <w:rPr>
          <w:rFonts w:ascii="Calibri" w:hAnsi="Calibri"/>
          <w:sz w:val="20"/>
          <w:szCs w:val="20"/>
        </w:rPr>
        <w:t xml:space="preserve">kunnen </w:t>
      </w:r>
      <w:r w:rsidR="00F16D1B">
        <w:rPr>
          <w:rFonts w:ascii="Calibri" w:hAnsi="Calibri"/>
          <w:sz w:val="20"/>
          <w:szCs w:val="20"/>
        </w:rPr>
        <w:t>creëren</w:t>
      </w:r>
      <w:r w:rsidR="005B524F" w:rsidRPr="00492085">
        <w:rPr>
          <w:rFonts w:ascii="Calibri" w:hAnsi="Calibri"/>
          <w:sz w:val="20"/>
          <w:szCs w:val="20"/>
        </w:rPr>
        <w:t>.</w:t>
      </w:r>
      <w:r w:rsidR="000D13E6" w:rsidRPr="00492085">
        <w:rPr>
          <w:rFonts w:ascii="Calibri" w:hAnsi="Calibri"/>
          <w:sz w:val="20"/>
          <w:szCs w:val="20"/>
        </w:rPr>
        <w:t xml:space="preserve"> </w:t>
      </w:r>
      <w:r w:rsidR="00206487">
        <w:rPr>
          <w:rFonts w:ascii="Calibri" w:hAnsi="Calibri"/>
          <w:sz w:val="20"/>
          <w:szCs w:val="20"/>
        </w:rPr>
        <w:t>G</w:t>
      </w:r>
      <w:r w:rsidR="00B827C4" w:rsidRPr="00492085">
        <w:rPr>
          <w:rFonts w:ascii="Calibri" w:hAnsi="Calibri"/>
          <w:sz w:val="20"/>
          <w:szCs w:val="20"/>
        </w:rPr>
        <w:t>emeenten</w:t>
      </w:r>
      <w:r w:rsidR="008F7152" w:rsidRPr="00492085">
        <w:rPr>
          <w:rFonts w:ascii="Calibri" w:hAnsi="Calibri"/>
          <w:sz w:val="20"/>
          <w:szCs w:val="20"/>
        </w:rPr>
        <w:t>, beleggers</w:t>
      </w:r>
      <w:r w:rsidR="00B827C4" w:rsidRPr="00492085">
        <w:rPr>
          <w:rFonts w:ascii="Calibri" w:hAnsi="Calibri"/>
          <w:sz w:val="20"/>
          <w:szCs w:val="20"/>
        </w:rPr>
        <w:t xml:space="preserve"> en andere betrokken partijen in de markt </w:t>
      </w:r>
      <w:r w:rsidR="00206487">
        <w:rPr>
          <w:rFonts w:ascii="Calibri" w:hAnsi="Calibri"/>
          <w:sz w:val="20"/>
          <w:szCs w:val="20"/>
        </w:rPr>
        <w:t>moeten samen optrekken</w:t>
      </w:r>
      <w:r w:rsidR="00B827C4" w:rsidRPr="00492085">
        <w:rPr>
          <w:rFonts w:ascii="Calibri" w:hAnsi="Calibri"/>
          <w:sz w:val="20"/>
          <w:szCs w:val="20"/>
        </w:rPr>
        <w:t xml:space="preserve"> </w:t>
      </w:r>
      <w:r w:rsidR="008F7152" w:rsidRPr="00492085">
        <w:rPr>
          <w:rFonts w:ascii="Calibri" w:hAnsi="Calibri"/>
          <w:sz w:val="20"/>
          <w:szCs w:val="20"/>
        </w:rPr>
        <w:t>om betaalbare nieuwbouw</w:t>
      </w:r>
      <w:r w:rsidR="00206487">
        <w:rPr>
          <w:rFonts w:ascii="Calibri" w:hAnsi="Calibri"/>
          <w:sz w:val="20"/>
          <w:szCs w:val="20"/>
        </w:rPr>
        <w:t>woningen</w:t>
      </w:r>
      <w:r w:rsidR="008F7152" w:rsidRPr="00492085">
        <w:rPr>
          <w:rFonts w:ascii="Calibri" w:hAnsi="Calibri"/>
          <w:sz w:val="20"/>
          <w:szCs w:val="20"/>
        </w:rPr>
        <w:t xml:space="preserve"> te </w:t>
      </w:r>
      <w:r w:rsidR="00206487">
        <w:rPr>
          <w:rFonts w:ascii="Calibri" w:hAnsi="Calibri"/>
          <w:sz w:val="20"/>
          <w:szCs w:val="20"/>
        </w:rPr>
        <w:t xml:space="preserve">kunnen </w:t>
      </w:r>
      <w:r w:rsidR="008F7152" w:rsidRPr="00492085">
        <w:rPr>
          <w:rFonts w:ascii="Calibri" w:hAnsi="Calibri"/>
          <w:sz w:val="20"/>
          <w:szCs w:val="20"/>
        </w:rPr>
        <w:t>realiseren</w:t>
      </w:r>
      <w:r w:rsidR="00E777AE" w:rsidRPr="00492085">
        <w:rPr>
          <w:rFonts w:ascii="Calibri" w:hAnsi="Calibri"/>
          <w:sz w:val="20"/>
          <w:szCs w:val="20"/>
        </w:rPr>
        <w:t xml:space="preserve">. </w:t>
      </w:r>
      <w:r w:rsidR="00F16D1B">
        <w:rPr>
          <w:rFonts w:ascii="Calibri" w:hAnsi="Calibri"/>
          <w:sz w:val="20"/>
          <w:szCs w:val="20"/>
        </w:rPr>
        <w:t>E</w:t>
      </w:r>
      <w:r w:rsidR="002B1563" w:rsidRPr="00492085">
        <w:rPr>
          <w:rFonts w:ascii="Calibri" w:hAnsi="Calibri"/>
          <w:sz w:val="20"/>
          <w:szCs w:val="20"/>
        </w:rPr>
        <w:t xml:space="preserve">en grotere vrije huursector heeft </w:t>
      </w:r>
      <w:r w:rsidR="000A0312" w:rsidRPr="00492085">
        <w:rPr>
          <w:rFonts w:ascii="Calibri" w:hAnsi="Calibri"/>
          <w:sz w:val="20"/>
          <w:szCs w:val="20"/>
        </w:rPr>
        <w:t xml:space="preserve">juist </w:t>
      </w:r>
      <w:r w:rsidR="002B1563" w:rsidRPr="00492085">
        <w:rPr>
          <w:rFonts w:ascii="Calibri" w:hAnsi="Calibri"/>
          <w:sz w:val="20"/>
          <w:szCs w:val="20"/>
        </w:rPr>
        <w:t xml:space="preserve">voordelen </w:t>
      </w:r>
      <w:r w:rsidR="00082AF2" w:rsidRPr="00492085">
        <w:rPr>
          <w:rFonts w:ascii="Calibri" w:hAnsi="Calibri"/>
          <w:sz w:val="20"/>
          <w:szCs w:val="20"/>
        </w:rPr>
        <w:t>en bevordert ook</w:t>
      </w:r>
      <w:r w:rsidR="002B1563" w:rsidRPr="00492085">
        <w:rPr>
          <w:rFonts w:ascii="Calibri" w:hAnsi="Calibri"/>
          <w:sz w:val="20"/>
          <w:szCs w:val="20"/>
        </w:rPr>
        <w:t xml:space="preserve"> de doorstroming</w:t>
      </w:r>
      <w:r w:rsidR="00082AF2" w:rsidRPr="00492085">
        <w:rPr>
          <w:rFonts w:ascii="Calibri" w:hAnsi="Calibri"/>
          <w:sz w:val="20"/>
          <w:szCs w:val="20"/>
        </w:rPr>
        <w:t xml:space="preserve"> in de markt</w:t>
      </w:r>
      <w:r w:rsidR="000B2DBE" w:rsidRPr="00492085">
        <w:rPr>
          <w:rFonts w:ascii="Calibri" w:hAnsi="Calibri"/>
          <w:sz w:val="20"/>
          <w:szCs w:val="20"/>
        </w:rPr>
        <w:t xml:space="preserve">. </w:t>
      </w:r>
      <w:r w:rsidR="00915F6B" w:rsidRPr="00492085">
        <w:rPr>
          <w:rFonts w:ascii="Calibri" w:hAnsi="Calibri"/>
          <w:sz w:val="20"/>
          <w:szCs w:val="20"/>
        </w:rPr>
        <w:t xml:space="preserve">Ondanks de voordelen van huren </w:t>
      </w:r>
      <w:r w:rsidR="000B2DBE" w:rsidRPr="00492085">
        <w:rPr>
          <w:rFonts w:ascii="Calibri" w:hAnsi="Calibri"/>
          <w:sz w:val="20"/>
          <w:szCs w:val="20"/>
        </w:rPr>
        <w:t>zet</w:t>
      </w:r>
      <w:r w:rsidR="00915F6B" w:rsidRPr="00492085">
        <w:rPr>
          <w:rFonts w:ascii="Calibri" w:hAnsi="Calibri"/>
          <w:sz w:val="20"/>
          <w:szCs w:val="20"/>
        </w:rPr>
        <w:t xml:space="preserve"> de overheid </w:t>
      </w:r>
      <w:r w:rsidR="000B2DBE" w:rsidRPr="00492085">
        <w:rPr>
          <w:rFonts w:ascii="Calibri" w:hAnsi="Calibri"/>
          <w:sz w:val="20"/>
          <w:szCs w:val="20"/>
        </w:rPr>
        <w:t xml:space="preserve">juist </w:t>
      </w:r>
      <w:r w:rsidR="00915F6B" w:rsidRPr="00492085">
        <w:rPr>
          <w:rFonts w:ascii="Calibri" w:hAnsi="Calibri"/>
          <w:sz w:val="20"/>
          <w:szCs w:val="20"/>
        </w:rPr>
        <w:t xml:space="preserve">sterk </w:t>
      </w:r>
      <w:r w:rsidR="000B2DBE" w:rsidRPr="00492085">
        <w:rPr>
          <w:rFonts w:ascii="Calibri" w:hAnsi="Calibri"/>
          <w:sz w:val="20"/>
          <w:szCs w:val="20"/>
        </w:rPr>
        <w:t>in</w:t>
      </w:r>
      <w:r w:rsidR="00915F6B" w:rsidRPr="00492085">
        <w:rPr>
          <w:rFonts w:ascii="Calibri" w:hAnsi="Calibri"/>
          <w:sz w:val="20"/>
          <w:szCs w:val="20"/>
        </w:rPr>
        <w:t xml:space="preserve"> op het bevorderen van eigen woningbezit</w:t>
      </w:r>
      <w:r w:rsidR="00082AF2" w:rsidRPr="00492085">
        <w:rPr>
          <w:rFonts w:ascii="Calibri" w:hAnsi="Calibri"/>
          <w:sz w:val="20"/>
          <w:szCs w:val="20"/>
        </w:rPr>
        <w:t xml:space="preserve"> en </w:t>
      </w:r>
      <w:r w:rsidR="00693AF5" w:rsidRPr="00492085">
        <w:rPr>
          <w:rFonts w:ascii="Calibri" w:hAnsi="Calibri"/>
          <w:sz w:val="20"/>
          <w:szCs w:val="20"/>
        </w:rPr>
        <w:t>lijkt</w:t>
      </w:r>
      <w:r w:rsidR="00082AF2" w:rsidRPr="00492085">
        <w:rPr>
          <w:rFonts w:ascii="Calibri" w:hAnsi="Calibri"/>
          <w:sz w:val="20"/>
          <w:szCs w:val="20"/>
        </w:rPr>
        <w:t xml:space="preserve"> het investeren </w:t>
      </w:r>
      <w:r w:rsidR="002C05A7">
        <w:rPr>
          <w:rFonts w:ascii="Calibri" w:hAnsi="Calibri"/>
          <w:sz w:val="20"/>
          <w:szCs w:val="20"/>
        </w:rPr>
        <w:t xml:space="preserve">in vastgoed </w:t>
      </w:r>
      <w:r w:rsidR="00056928" w:rsidRPr="00492085">
        <w:rPr>
          <w:rFonts w:ascii="Calibri" w:hAnsi="Calibri"/>
          <w:sz w:val="20"/>
          <w:szCs w:val="20"/>
        </w:rPr>
        <w:t xml:space="preserve">voor verhuur </w:t>
      </w:r>
      <w:r w:rsidR="00693AF5" w:rsidRPr="00492085">
        <w:rPr>
          <w:rFonts w:ascii="Calibri" w:hAnsi="Calibri"/>
          <w:sz w:val="20"/>
          <w:szCs w:val="20"/>
        </w:rPr>
        <w:t>juist te worden</w:t>
      </w:r>
      <w:r w:rsidR="00056928" w:rsidRPr="00492085">
        <w:rPr>
          <w:rFonts w:ascii="Calibri" w:hAnsi="Calibri"/>
          <w:sz w:val="20"/>
          <w:szCs w:val="20"/>
        </w:rPr>
        <w:t xml:space="preserve"> ontmoedigd.</w:t>
      </w:r>
      <w:r w:rsidR="00492085">
        <w:rPr>
          <w:rFonts w:ascii="Calibri" w:hAnsi="Calibri"/>
          <w:sz w:val="20"/>
          <w:szCs w:val="20"/>
        </w:rPr>
        <w:t>”</w:t>
      </w:r>
      <w:r w:rsidR="00CE43AC" w:rsidRPr="00492085">
        <w:rPr>
          <w:rFonts w:ascii="Calibri" w:hAnsi="Calibri"/>
          <w:sz w:val="20"/>
          <w:szCs w:val="20"/>
        </w:rPr>
        <w:t xml:space="preserve"> </w:t>
      </w:r>
    </w:p>
    <w:p w14:paraId="425ECFE9" w14:textId="1B6BF2E3" w:rsidR="00FC4004" w:rsidRDefault="006F3EF1">
      <w:pPr>
        <w:spacing w:after="160" w:line="259" w:lineRule="auto"/>
        <w:rPr>
          <w:rFonts w:ascii="Calibri" w:hAnsi="Calibri"/>
          <w:color w:val="FF0000"/>
          <w:sz w:val="20"/>
          <w:szCs w:val="20"/>
          <w:u w:color="FF0000"/>
        </w:rPr>
      </w:pPr>
      <w:r w:rsidRPr="006F3EF1">
        <w:rPr>
          <w:rFonts w:ascii="Calibri" w:hAnsi="Calibri"/>
          <w:b/>
          <w:bCs/>
          <w:sz w:val="20"/>
          <w:szCs w:val="20"/>
        </w:rPr>
        <w:t>Afname aantal verhuurtransacties in vier grote steden</w:t>
      </w:r>
      <w:r w:rsidR="00F05A03" w:rsidRPr="00F05A03">
        <w:rPr>
          <w:rFonts w:ascii="Calibri" w:hAnsi="Calibri"/>
          <w:b/>
          <w:bCs/>
          <w:sz w:val="20"/>
          <w:szCs w:val="20"/>
        </w:rPr>
        <w:br/>
      </w:r>
      <w:r w:rsidR="006E0BA1">
        <w:rPr>
          <w:rFonts w:ascii="Calibri" w:hAnsi="Calibri"/>
          <w:sz w:val="20"/>
          <w:szCs w:val="20"/>
        </w:rPr>
        <w:t>De stijging van het aantal transacties is niet overal terug te zien. In de vier grote steden loopt het aantal verhuurtransacties juist terug. Deze ontwikkeling wordt hoogstwaarschijnlijk veroorzaakt door een combinatie van hoge huurprijzen en geringere investeringsbereidheid ingegeven door (lokale) regelgeving en de recent ingevoerde of nog in te voeren opkoopbescherming.</w:t>
      </w:r>
    </w:p>
    <w:p w14:paraId="425ECFEC" w14:textId="06EF1B85" w:rsidR="00FC4004" w:rsidRPr="008E4ABB" w:rsidRDefault="00DA2E73">
      <w:pPr>
        <w:rPr>
          <w:rFonts w:ascii="Calibri" w:hAnsi="Calibri"/>
          <w:b/>
          <w:bCs/>
          <w:sz w:val="20"/>
          <w:szCs w:val="20"/>
        </w:rPr>
      </w:pPr>
      <w:r>
        <w:rPr>
          <w:rFonts w:ascii="Calibri" w:hAnsi="Calibri"/>
          <w:b/>
          <w:bCs/>
          <w:sz w:val="20"/>
          <w:szCs w:val="20"/>
        </w:rPr>
        <w:t>B</w:t>
      </w:r>
      <w:r w:rsidR="006E0BA1" w:rsidRPr="00DA2E73">
        <w:rPr>
          <w:rFonts w:ascii="Calibri" w:hAnsi="Calibri"/>
          <w:b/>
          <w:bCs/>
          <w:sz w:val="20"/>
          <w:szCs w:val="20"/>
        </w:rPr>
        <w:t xml:space="preserve">elangrijkste landelijke ontwikkelingen </w:t>
      </w:r>
    </w:p>
    <w:p w14:paraId="425ECFED" w14:textId="1FA8007F" w:rsidR="00FC4004" w:rsidRDefault="006E0BA1">
      <w:pPr>
        <w:numPr>
          <w:ilvl w:val="0"/>
          <w:numId w:val="2"/>
        </w:numPr>
        <w:rPr>
          <w:rFonts w:ascii="Calibri" w:hAnsi="Calibri"/>
          <w:sz w:val="20"/>
          <w:szCs w:val="20"/>
        </w:rPr>
      </w:pPr>
      <w:r>
        <w:rPr>
          <w:rFonts w:ascii="Calibri" w:hAnsi="Calibri"/>
          <w:sz w:val="20"/>
          <w:szCs w:val="20"/>
        </w:rPr>
        <w:t xml:space="preserve">Na 4 kwartalen daling eindelijk weer </w:t>
      </w:r>
      <w:r w:rsidR="00237723">
        <w:rPr>
          <w:rFonts w:ascii="Calibri" w:hAnsi="Calibri"/>
          <w:sz w:val="20"/>
          <w:szCs w:val="20"/>
        </w:rPr>
        <w:t xml:space="preserve">een </w:t>
      </w:r>
      <w:r>
        <w:rPr>
          <w:rFonts w:ascii="Calibri" w:hAnsi="Calibri"/>
          <w:sz w:val="20"/>
          <w:szCs w:val="20"/>
        </w:rPr>
        <w:t>stijging -kwartaal op kwartaal- in het aantal geregistreerde transacties (+5,6%). De stijging wordt veroorzaakt door een flink aantal verhuringen van appartementen</w:t>
      </w:r>
      <w:r w:rsidR="00286F7E">
        <w:rPr>
          <w:rFonts w:ascii="Calibri" w:hAnsi="Calibri"/>
          <w:sz w:val="20"/>
          <w:szCs w:val="20"/>
        </w:rPr>
        <w:t>;</w:t>
      </w:r>
      <w:r>
        <w:rPr>
          <w:rFonts w:ascii="Calibri" w:hAnsi="Calibri"/>
          <w:sz w:val="20"/>
          <w:szCs w:val="20"/>
        </w:rPr>
        <w:t xml:space="preserve">  </w:t>
      </w:r>
    </w:p>
    <w:p w14:paraId="425ECFEE" w14:textId="71F57953" w:rsidR="00FC4004" w:rsidRDefault="006E0BA1" w:rsidP="00DA2E73">
      <w:pPr>
        <w:numPr>
          <w:ilvl w:val="0"/>
          <w:numId w:val="2"/>
        </w:numPr>
        <w:rPr>
          <w:rFonts w:ascii="Calibri" w:hAnsi="Calibri"/>
          <w:sz w:val="20"/>
          <w:szCs w:val="20"/>
        </w:rPr>
      </w:pPr>
      <w:r w:rsidRPr="00DA2E73">
        <w:rPr>
          <w:rFonts w:ascii="Calibri" w:hAnsi="Calibri"/>
          <w:sz w:val="20"/>
          <w:szCs w:val="20"/>
        </w:rPr>
        <w:t xml:space="preserve">Het aandeel nieuwbouw is </w:t>
      </w:r>
      <w:r w:rsidR="00D95C37">
        <w:rPr>
          <w:rFonts w:ascii="Calibri" w:hAnsi="Calibri"/>
          <w:sz w:val="20"/>
          <w:szCs w:val="20"/>
        </w:rPr>
        <w:t xml:space="preserve">in het tweede kwartaal van dit jaar </w:t>
      </w:r>
      <w:r w:rsidRPr="00DA2E73">
        <w:rPr>
          <w:rFonts w:ascii="Calibri" w:hAnsi="Calibri"/>
          <w:sz w:val="20"/>
          <w:szCs w:val="20"/>
        </w:rPr>
        <w:t>met 25% fors hoger dan de kwartale</w:t>
      </w:r>
      <w:r w:rsidRPr="008E4ABB">
        <w:rPr>
          <w:rFonts w:ascii="Calibri" w:hAnsi="Calibri"/>
          <w:sz w:val="20"/>
          <w:szCs w:val="20"/>
        </w:rPr>
        <w:t>n hiervoor;</w:t>
      </w:r>
    </w:p>
    <w:p w14:paraId="425ECFEF" w14:textId="4D4453F2" w:rsidR="00FC4004" w:rsidRPr="00237723" w:rsidRDefault="006E0BA1" w:rsidP="008E4ABB">
      <w:pPr>
        <w:numPr>
          <w:ilvl w:val="0"/>
          <w:numId w:val="2"/>
        </w:numPr>
        <w:rPr>
          <w:rFonts w:ascii="Calibri" w:hAnsi="Calibri"/>
          <w:sz w:val="20"/>
          <w:szCs w:val="20"/>
        </w:rPr>
      </w:pPr>
      <w:r w:rsidRPr="00DA2E73">
        <w:rPr>
          <w:rFonts w:ascii="Calibri" w:hAnsi="Calibri"/>
          <w:sz w:val="20"/>
          <w:szCs w:val="20"/>
        </w:rPr>
        <w:t>Een stijging van 11,8% op jaarbasis van de gemiddelde vierkante meter prijs</w:t>
      </w:r>
      <w:r w:rsidR="00D95C37">
        <w:rPr>
          <w:rFonts w:ascii="Calibri" w:hAnsi="Calibri"/>
          <w:sz w:val="20"/>
          <w:szCs w:val="20"/>
        </w:rPr>
        <w:t xml:space="preserve"> voor nieuwe huurders</w:t>
      </w:r>
      <w:r w:rsidRPr="00DA2E73">
        <w:rPr>
          <w:rFonts w:ascii="Calibri" w:hAnsi="Calibri"/>
          <w:sz w:val="20"/>
          <w:szCs w:val="20"/>
        </w:rPr>
        <w:t xml:space="preserve">. Deze steeg van </w:t>
      </w:r>
      <w:r w:rsidRPr="008E4ABB">
        <w:rPr>
          <w:rFonts w:ascii="Calibri" w:hAnsi="Calibri"/>
          <w:sz w:val="20"/>
          <w:szCs w:val="20"/>
        </w:rPr>
        <w:t xml:space="preserve">€ 13,73 in het tweede kwartaal van 2021 naar </w:t>
      </w:r>
      <w:r w:rsidRPr="00237723">
        <w:rPr>
          <w:rFonts w:ascii="Calibri" w:hAnsi="Calibri"/>
          <w:sz w:val="20"/>
          <w:szCs w:val="20"/>
        </w:rPr>
        <w:t>€ 15,35 dit kwartaal;</w:t>
      </w:r>
    </w:p>
    <w:p w14:paraId="425ECFF0" w14:textId="77777777" w:rsidR="00FC4004" w:rsidRDefault="006E0BA1">
      <w:pPr>
        <w:numPr>
          <w:ilvl w:val="0"/>
          <w:numId w:val="2"/>
        </w:numPr>
        <w:rPr>
          <w:rFonts w:ascii="Calibri" w:hAnsi="Calibri"/>
          <w:sz w:val="20"/>
          <w:szCs w:val="20"/>
        </w:rPr>
      </w:pPr>
      <w:r>
        <w:rPr>
          <w:rFonts w:ascii="Calibri" w:hAnsi="Calibri"/>
          <w:sz w:val="20"/>
          <w:szCs w:val="20"/>
        </w:rPr>
        <w:t>De vierkante meter prijs van verhuurde nieuwbouwwoningen is met 18,2% gestegen naar € 18,12. Voor bestaande bouw was de stijging met 7,5 % naar € 14,34;</w:t>
      </w:r>
    </w:p>
    <w:p w14:paraId="425ECFF1" w14:textId="47E15A3C" w:rsidR="00FC4004" w:rsidRDefault="006E0BA1">
      <w:pPr>
        <w:numPr>
          <w:ilvl w:val="0"/>
          <w:numId w:val="2"/>
        </w:numPr>
        <w:rPr>
          <w:rFonts w:ascii="Calibri" w:hAnsi="Calibri"/>
          <w:sz w:val="20"/>
          <w:szCs w:val="20"/>
        </w:rPr>
      </w:pPr>
      <w:r>
        <w:rPr>
          <w:rFonts w:ascii="Calibri" w:hAnsi="Calibri"/>
          <w:sz w:val="20"/>
          <w:szCs w:val="20"/>
        </w:rPr>
        <w:t>De totale gemiddelde oppervlakte van de woningen die van huurder wisselden</w:t>
      </w:r>
      <w:r w:rsidR="00823716">
        <w:rPr>
          <w:rFonts w:ascii="Calibri" w:hAnsi="Calibri"/>
          <w:sz w:val="20"/>
          <w:szCs w:val="20"/>
        </w:rPr>
        <w:t>,</w:t>
      </w:r>
      <w:r>
        <w:rPr>
          <w:rFonts w:ascii="Calibri" w:hAnsi="Calibri"/>
          <w:sz w:val="20"/>
          <w:szCs w:val="20"/>
        </w:rPr>
        <w:t xml:space="preserve"> daalde van 86,9 </w:t>
      </w:r>
      <w:r w:rsidR="00760D0C">
        <w:rPr>
          <w:rFonts w:ascii="Calibri" w:hAnsi="Calibri"/>
          <w:sz w:val="20"/>
          <w:szCs w:val="20"/>
        </w:rPr>
        <w:t xml:space="preserve">m² </w:t>
      </w:r>
      <w:r>
        <w:rPr>
          <w:rFonts w:ascii="Calibri" w:hAnsi="Calibri"/>
          <w:sz w:val="20"/>
          <w:szCs w:val="20"/>
        </w:rPr>
        <w:t xml:space="preserve">in 2021 naar 84,7 </w:t>
      </w:r>
      <w:r w:rsidR="00760D0C">
        <w:rPr>
          <w:rFonts w:ascii="Calibri" w:hAnsi="Calibri"/>
          <w:sz w:val="20"/>
          <w:szCs w:val="20"/>
        </w:rPr>
        <w:t>m²</w:t>
      </w:r>
      <w:r>
        <w:rPr>
          <w:rFonts w:ascii="Calibri" w:hAnsi="Calibri"/>
          <w:sz w:val="20"/>
          <w:szCs w:val="20"/>
        </w:rPr>
        <w:t xml:space="preserve"> in het eerste kwartaal van dit jaar;</w:t>
      </w:r>
    </w:p>
    <w:p w14:paraId="425ECFF2" w14:textId="3D755E62" w:rsidR="00FC4004" w:rsidRDefault="006E0BA1">
      <w:pPr>
        <w:numPr>
          <w:ilvl w:val="0"/>
          <w:numId w:val="2"/>
        </w:numPr>
        <w:rPr>
          <w:rFonts w:ascii="Calibri" w:hAnsi="Calibri"/>
          <w:sz w:val="20"/>
          <w:szCs w:val="20"/>
        </w:rPr>
      </w:pPr>
      <w:r>
        <w:rPr>
          <w:rFonts w:ascii="Calibri" w:hAnsi="Calibri"/>
          <w:sz w:val="20"/>
          <w:szCs w:val="20"/>
        </w:rPr>
        <w:lastRenderedPageBreak/>
        <w:t xml:space="preserve">De nieuwbouwwoningen zijn </w:t>
      </w:r>
      <w:r w:rsidR="00886847">
        <w:rPr>
          <w:rFonts w:ascii="Calibri" w:hAnsi="Calibri"/>
          <w:sz w:val="20"/>
          <w:szCs w:val="20"/>
        </w:rPr>
        <w:t xml:space="preserve">met </w:t>
      </w:r>
      <w:r>
        <w:rPr>
          <w:rFonts w:ascii="Calibri" w:hAnsi="Calibri"/>
          <w:sz w:val="20"/>
          <w:szCs w:val="20"/>
        </w:rPr>
        <w:t>gemiddeld</w:t>
      </w:r>
      <w:r w:rsidR="00D95C37">
        <w:rPr>
          <w:rFonts w:ascii="Calibri" w:hAnsi="Calibri"/>
          <w:sz w:val="20"/>
          <w:szCs w:val="20"/>
        </w:rPr>
        <w:t xml:space="preserve"> </w:t>
      </w:r>
      <w:r>
        <w:rPr>
          <w:rFonts w:ascii="Calibri" w:hAnsi="Calibri"/>
          <w:sz w:val="20"/>
          <w:szCs w:val="20"/>
        </w:rPr>
        <w:t xml:space="preserve">69 </w:t>
      </w:r>
      <w:r w:rsidR="00760D0C">
        <w:rPr>
          <w:rFonts w:ascii="Calibri" w:hAnsi="Calibri"/>
          <w:sz w:val="20"/>
          <w:szCs w:val="20"/>
        </w:rPr>
        <w:t xml:space="preserve">m² </w:t>
      </w:r>
      <w:r>
        <w:rPr>
          <w:rFonts w:ascii="Calibri" w:hAnsi="Calibri"/>
          <w:sz w:val="20"/>
          <w:szCs w:val="20"/>
        </w:rPr>
        <w:t>kleiner dan een jaar eerder (75 m²);</w:t>
      </w:r>
    </w:p>
    <w:p w14:paraId="425ECFF3" w14:textId="3540726E" w:rsidR="00FC4004" w:rsidRPr="00BF79EE" w:rsidRDefault="006E0BA1">
      <w:pPr>
        <w:numPr>
          <w:ilvl w:val="0"/>
          <w:numId w:val="2"/>
        </w:numPr>
        <w:rPr>
          <w:rFonts w:ascii="Calibri" w:hAnsi="Calibri"/>
          <w:color w:val="auto"/>
          <w:sz w:val="20"/>
          <w:szCs w:val="20"/>
        </w:rPr>
      </w:pPr>
      <w:r>
        <w:rPr>
          <w:rFonts w:ascii="Calibri" w:hAnsi="Calibri"/>
          <w:sz w:val="20"/>
          <w:szCs w:val="20"/>
        </w:rPr>
        <w:t xml:space="preserve">De gemiddelde woonoppervlakte van verhuurde eengezinswoningen daalde in een jaar tijd van 114 </w:t>
      </w:r>
      <w:r w:rsidR="00760D0C">
        <w:rPr>
          <w:rFonts w:ascii="Calibri" w:hAnsi="Calibri"/>
          <w:sz w:val="20"/>
          <w:szCs w:val="20"/>
        </w:rPr>
        <w:t xml:space="preserve">m² </w:t>
      </w:r>
      <w:r w:rsidRPr="00BF79EE">
        <w:rPr>
          <w:rFonts w:ascii="Calibri" w:hAnsi="Calibri"/>
          <w:color w:val="auto"/>
          <w:sz w:val="20"/>
          <w:szCs w:val="20"/>
        </w:rPr>
        <w:t xml:space="preserve">naar 112 m². De oppervlakte van appartementen daalde iets van 78 </w:t>
      </w:r>
      <w:r w:rsidR="00760D0C">
        <w:rPr>
          <w:rFonts w:ascii="Calibri" w:hAnsi="Calibri"/>
          <w:color w:val="auto"/>
          <w:sz w:val="20"/>
          <w:szCs w:val="20"/>
        </w:rPr>
        <w:t xml:space="preserve">m² </w:t>
      </w:r>
      <w:r w:rsidRPr="00BF79EE">
        <w:rPr>
          <w:rFonts w:ascii="Calibri" w:hAnsi="Calibri"/>
          <w:color w:val="auto"/>
          <w:sz w:val="20"/>
          <w:szCs w:val="20"/>
        </w:rPr>
        <w:t>naar 77 m²;</w:t>
      </w:r>
    </w:p>
    <w:p w14:paraId="425ECFF4" w14:textId="11A68461" w:rsidR="00FC4004" w:rsidRPr="008C2513" w:rsidRDefault="006E0BA1">
      <w:pPr>
        <w:numPr>
          <w:ilvl w:val="0"/>
          <w:numId w:val="2"/>
        </w:numPr>
        <w:rPr>
          <w:rFonts w:ascii="Calibri" w:hAnsi="Calibri"/>
          <w:color w:val="auto"/>
          <w:sz w:val="20"/>
          <w:szCs w:val="20"/>
        </w:rPr>
      </w:pPr>
      <w:r w:rsidRPr="00BF79EE">
        <w:rPr>
          <w:rFonts w:ascii="Calibri" w:hAnsi="Calibri"/>
          <w:color w:val="auto"/>
          <w:sz w:val="20"/>
          <w:szCs w:val="20"/>
        </w:rPr>
        <w:t xml:space="preserve">De provincie Noord-Holland blijft met een </w:t>
      </w:r>
      <w:r w:rsidR="00760D0C">
        <w:rPr>
          <w:rFonts w:ascii="Calibri" w:hAnsi="Calibri"/>
          <w:color w:val="auto"/>
          <w:sz w:val="20"/>
          <w:szCs w:val="20"/>
        </w:rPr>
        <w:t>m²-</w:t>
      </w:r>
      <w:r w:rsidRPr="00BF79EE">
        <w:rPr>
          <w:rFonts w:ascii="Calibri" w:hAnsi="Calibri"/>
          <w:color w:val="auto"/>
          <w:sz w:val="20"/>
          <w:szCs w:val="20"/>
        </w:rPr>
        <w:t xml:space="preserve">prijsstijging van 9,7% op jaarbasis achter bij het landelijk </w:t>
      </w:r>
      <w:r w:rsidRPr="008C2513">
        <w:rPr>
          <w:rFonts w:ascii="Calibri" w:hAnsi="Calibri"/>
          <w:color w:val="auto"/>
          <w:sz w:val="20"/>
          <w:szCs w:val="20"/>
        </w:rPr>
        <w:t>gemiddelde</w:t>
      </w:r>
      <w:r w:rsidR="004649A0" w:rsidRPr="008C2513">
        <w:rPr>
          <w:rFonts w:ascii="Calibri" w:hAnsi="Calibri"/>
          <w:color w:val="auto"/>
          <w:sz w:val="20"/>
          <w:szCs w:val="20"/>
        </w:rPr>
        <w:t>;</w:t>
      </w:r>
      <w:r w:rsidRPr="008C2513">
        <w:rPr>
          <w:rFonts w:ascii="Calibri" w:hAnsi="Calibri"/>
          <w:color w:val="auto"/>
          <w:sz w:val="20"/>
          <w:szCs w:val="20"/>
        </w:rPr>
        <w:t xml:space="preserve"> </w:t>
      </w:r>
    </w:p>
    <w:p w14:paraId="2648939C" w14:textId="0A960C62" w:rsidR="000D107B" w:rsidRPr="000D107B" w:rsidRDefault="00214751" w:rsidP="000D107B">
      <w:pPr>
        <w:numPr>
          <w:ilvl w:val="0"/>
          <w:numId w:val="2"/>
        </w:numPr>
        <w:rPr>
          <w:rFonts w:ascii="Calibri" w:hAnsi="Calibri"/>
          <w:color w:val="auto"/>
          <w:sz w:val="20"/>
          <w:szCs w:val="20"/>
        </w:rPr>
      </w:pPr>
      <w:r w:rsidRPr="00BF79EE">
        <w:rPr>
          <w:rFonts w:ascii="Calibri" w:hAnsi="Calibri"/>
          <w:color w:val="auto"/>
          <w:sz w:val="20"/>
          <w:szCs w:val="20"/>
        </w:rPr>
        <w:t xml:space="preserve">Flevoland kent de grootste </w:t>
      </w:r>
      <w:r w:rsidR="00760D0C">
        <w:rPr>
          <w:rFonts w:ascii="Calibri" w:hAnsi="Calibri"/>
          <w:color w:val="auto"/>
          <w:sz w:val="20"/>
          <w:szCs w:val="20"/>
        </w:rPr>
        <w:t>m²-</w:t>
      </w:r>
      <w:r w:rsidRPr="00BF79EE">
        <w:rPr>
          <w:rFonts w:ascii="Calibri" w:hAnsi="Calibri"/>
          <w:color w:val="auto"/>
          <w:sz w:val="20"/>
          <w:szCs w:val="20"/>
        </w:rPr>
        <w:t>prijsstijging op jaarbasis. Deze steeg in één jaar met maar liefst 27,2%</w:t>
      </w:r>
      <w:r>
        <w:rPr>
          <w:rFonts w:ascii="Calibri" w:hAnsi="Calibri"/>
          <w:color w:val="auto"/>
          <w:sz w:val="20"/>
          <w:szCs w:val="20"/>
        </w:rPr>
        <w:t xml:space="preserve"> per </w:t>
      </w:r>
      <w:r w:rsidR="00760D0C">
        <w:rPr>
          <w:rFonts w:ascii="Calibri" w:hAnsi="Calibri"/>
          <w:color w:val="auto"/>
          <w:sz w:val="20"/>
          <w:szCs w:val="20"/>
        </w:rPr>
        <w:t>m².</w:t>
      </w:r>
      <w:r w:rsidRPr="00BF79EE">
        <w:rPr>
          <w:rFonts w:ascii="Calibri" w:hAnsi="Calibri"/>
          <w:color w:val="auto"/>
          <w:sz w:val="20"/>
          <w:szCs w:val="20"/>
        </w:rPr>
        <w:t xml:space="preserve"> De stijging van de huurprijs per object bleef echter maar beperkt tot 7,3% op jaarbasis</w:t>
      </w:r>
      <w:r w:rsidR="000D107B">
        <w:rPr>
          <w:rFonts w:ascii="Calibri" w:hAnsi="Calibri"/>
          <w:color w:val="auto"/>
          <w:sz w:val="20"/>
          <w:szCs w:val="20"/>
        </w:rPr>
        <w:t>.</w:t>
      </w:r>
    </w:p>
    <w:p w14:paraId="43785353" w14:textId="263843ED" w:rsidR="00230048" w:rsidRDefault="000D107B" w:rsidP="00230048">
      <w:pPr>
        <w:ind w:left="360"/>
        <w:rPr>
          <w:rFonts w:ascii="Calibri" w:hAnsi="Calibri"/>
          <w:color w:val="auto"/>
          <w:sz w:val="20"/>
          <w:szCs w:val="20"/>
        </w:rPr>
      </w:pPr>
      <w:r w:rsidRPr="000D107B">
        <w:rPr>
          <w:rFonts w:ascii="Calibri" w:hAnsi="Calibri"/>
          <w:color w:val="auto"/>
          <w:sz w:val="20"/>
          <w:szCs w:val="20"/>
        </w:rPr>
        <w:t xml:space="preserve">Dit heeft te maken met het grote aandeel appartementen in het 2e kwartaal met een hogere </w:t>
      </w:r>
      <w:r w:rsidR="00760D0C">
        <w:rPr>
          <w:rFonts w:ascii="Calibri" w:hAnsi="Calibri"/>
          <w:color w:val="auto"/>
          <w:sz w:val="20"/>
          <w:szCs w:val="20"/>
        </w:rPr>
        <w:t>m²-</w:t>
      </w:r>
      <w:r w:rsidRPr="000D107B">
        <w:rPr>
          <w:rFonts w:ascii="Calibri" w:hAnsi="Calibri"/>
          <w:color w:val="auto"/>
          <w:sz w:val="20"/>
          <w:szCs w:val="20"/>
        </w:rPr>
        <w:t>prijs.</w:t>
      </w:r>
    </w:p>
    <w:p w14:paraId="38B3B562" w14:textId="109985D8" w:rsidR="00214751" w:rsidRPr="00230048" w:rsidRDefault="00214751" w:rsidP="00230048">
      <w:pPr>
        <w:numPr>
          <w:ilvl w:val="0"/>
          <w:numId w:val="2"/>
        </w:numPr>
        <w:rPr>
          <w:rFonts w:ascii="Calibri" w:hAnsi="Calibri"/>
          <w:color w:val="auto"/>
          <w:sz w:val="20"/>
          <w:szCs w:val="20"/>
        </w:rPr>
      </w:pPr>
      <w:r w:rsidRPr="00230048">
        <w:rPr>
          <w:rFonts w:ascii="Calibri" w:hAnsi="Calibri"/>
          <w:color w:val="auto"/>
          <w:sz w:val="20"/>
          <w:szCs w:val="20"/>
        </w:rPr>
        <w:t xml:space="preserve">Naast Flevoland kennen ook de provincies Groningen (+21,6%) en Zeeland (+15,0%) een bovengemiddelde prijsstijging per </w:t>
      </w:r>
      <w:r w:rsidR="00760D0C">
        <w:rPr>
          <w:rFonts w:ascii="Calibri" w:hAnsi="Calibri"/>
          <w:color w:val="auto"/>
          <w:sz w:val="20"/>
          <w:szCs w:val="20"/>
        </w:rPr>
        <w:t>m².</w:t>
      </w:r>
      <w:r w:rsidRPr="00230048">
        <w:rPr>
          <w:rFonts w:ascii="Calibri" w:hAnsi="Calibri"/>
          <w:color w:val="auto"/>
          <w:sz w:val="20"/>
          <w:szCs w:val="20"/>
        </w:rPr>
        <w:t xml:space="preserve"> In geen enkele provincie was sprake van een prijsdaling, hekkensluiter is de provincie Zuid-</w:t>
      </w:r>
      <w:r w:rsidRPr="008C2513">
        <w:rPr>
          <w:rFonts w:ascii="Calibri" w:hAnsi="Calibri"/>
          <w:color w:val="auto"/>
          <w:sz w:val="20"/>
          <w:szCs w:val="20"/>
        </w:rPr>
        <w:t xml:space="preserve">Holland met een </w:t>
      </w:r>
      <w:r w:rsidR="00C8400E" w:rsidRPr="008C2513">
        <w:rPr>
          <w:rFonts w:ascii="Calibri" w:hAnsi="Calibri"/>
          <w:color w:val="auto"/>
          <w:sz w:val="20"/>
          <w:szCs w:val="20"/>
        </w:rPr>
        <w:t>m²</w:t>
      </w:r>
      <w:r w:rsidR="008C2513" w:rsidRPr="008C2513">
        <w:rPr>
          <w:rFonts w:ascii="Calibri" w:hAnsi="Calibri"/>
          <w:color w:val="auto"/>
          <w:sz w:val="20"/>
          <w:szCs w:val="20"/>
        </w:rPr>
        <w:t>-</w:t>
      </w:r>
      <w:r w:rsidRPr="008C2513">
        <w:rPr>
          <w:rFonts w:ascii="Calibri" w:hAnsi="Calibri"/>
          <w:color w:val="auto"/>
          <w:sz w:val="20"/>
          <w:szCs w:val="20"/>
        </w:rPr>
        <w:t>prijsstijging van</w:t>
      </w:r>
      <w:r w:rsidRPr="00230048">
        <w:rPr>
          <w:rFonts w:ascii="Calibri" w:hAnsi="Calibri"/>
          <w:color w:val="auto"/>
          <w:sz w:val="20"/>
          <w:szCs w:val="20"/>
        </w:rPr>
        <w:t xml:space="preserve"> 3,0% op jaarbasis;</w:t>
      </w:r>
    </w:p>
    <w:p w14:paraId="7B9921B9" w14:textId="5326BA09" w:rsidR="00214751" w:rsidRPr="00230048" w:rsidRDefault="00214751" w:rsidP="00214751">
      <w:pPr>
        <w:numPr>
          <w:ilvl w:val="0"/>
          <w:numId w:val="2"/>
        </w:numPr>
        <w:rPr>
          <w:rFonts w:ascii="Calibri" w:hAnsi="Calibri"/>
          <w:sz w:val="20"/>
          <w:szCs w:val="20"/>
        </w:rPr>
      </w:pPr>
      <w:r>
        <w:rPr>
          <w:rFonts w:ascii="Calibri" w:hAnsi="Calibri"/>
          <w:sz w:val="20"/>
          <w:szCs w:val="20"/>
        </w:rPr>
        <w:t xml:space="preserve">Op gemeenteniveau vinden de grootste </w:t>
      </w:r>
      <w:r w:rsidR="00C8400E">
        <w:rPr>
          <w:rFonts w:ascii="Calibri" w:hAnsi="Calibri"/>
          <w:sz w:val="20"/>
          <w:szCs w:val="20"/>
        </w:rPr>
        <w:t>m²</w:t>
      </w:r>
      <w:r w:rsidR="008C2513">
        <w:rPr>
          <w:rFonts w:ascii="Calibri" w:hAnsi="Calibri"/>
          <w:sz w:val="20"/>
          <w:szCs w:val="20"/>
        </w:rPr>
        <w:t>-</w:t>
      </w:r>
      <w:r>
        <w:rPr>
          <w:rFonts w:ascii="Calibri" w:hAnsi="Calibri"/>
          <w:sz w:val="20"/>
          <w:szCs w:val="20"/>
        </w:rPr>
        <w:t>prijsstijgingen plaats in Amstelveen (+41,1%</w:t>
      </w:r>
      <w:r w:rsidR="007E507B">
        <w:rPr>
          <w:rFonts w:ascii="Calibri" w:hAnsi="Calibri"/>
          <w:sz w:val="20"/>
          <w:szCs w:val="20"/>
        </w:rPr>
        <w:t>),</w:t>
      </w:r>
      <w:r>
        <w:rPr>
          <w:rFonts w:ascii="Calibri" w:hAnsi="Calibri"/>
          <w:sz w:val="20"/>
          <w:szCs w:val="20"/>
        </w:rPr>
        <w:t xml:space="preserve"> Almere (+31,7%) en Groningen (+21,8%);</w:t>
      </w:r>
    </w:p>
    <w:p w14:paraId="425ECFF8" w14:textId="1794E6E3" w:rsidR="00FC4004" w:rsidRDefault="006E0BA1">
      <w:pPr>
        <w:numPr>
          <w:ilvl w:val="0"/>
          <w:numId w:val="2"/>
        </w:numPr>
        <w:rPr>
          <w:rFonts w:ascii="Calibri" w:hAnsi="Calibri"/>
          <w:sz w:val="20"/>
          <w:szCs w:val="20"/>
        </w:rPr>
      </w:pPr>
      <w:r>
        <w:rPr>
          <w:rFonts w:ascii="Calibri" w:hAnsi="Calibri"/>
          <w:sz w:val="20"/>
          <w:szCs w:val="20"/>
        </w:rPr>
        <w:t xml:space="preserve">Van de vier grote steden </w:t>
      </w:r>
      <w:r w:rsidR="00D95C37">
        <w:rPr>
          <w:rFonts w:ascii="Calibri" w:hAnsi="Calibri"/>
          <w:sz w:val="20"/>
          <w:szCs w:val="20"/>
        </w:rPr>
        <w:t xml:space="preserve">laat </w:t>
      </w:r>
      <w:r>
        <w:rPr>
          <w:rFonts w:ascii="Calibri" w:hAnsi="Calibri"/>
          <w:sz w:val="20"/>
          <w:szCs w:val="20"/>
        </w:rPr>
        <w:t xml:space="preserve">Rotterdam </w:t>
      </w:r>
      <w:r w:rsidR="00DC0F6D">
        <w:rPr>
          <w:rFonts w:ascii="Calibri" w:hAnsi="Calibri"/>
          <w:sz w:val="20"/>
          <w:szCs w:val="20"/>
        </w:rPr>
        <w:t xml:space="preserve">een prijsdaling zien van </w:t>
      </w:r>
      <w:r>
        <w:rPr>
          <w:rFonts w:ascii="Calibri" w:hAnsi="Calibri"/>
          <w:sz w:val="20"/>
          <w:szCs w:val="20"/>
        </w:rPr>
        <w:t>6,1%. Naast Rotterdam kende alleen Haarlem ook een prijsdaling van 5,0%. Amsterdam (+5,1%), Utrecht (+7,4%) en Den Haag (+ 11,8%) kenden stijgingen die net onder het landelijk gemiddelde lagen;</w:t>
      </w:r>
    </w:p>
    <w:p w14:paraId="425ECFF9" w14:textId="49F21E63" w:rsidR="00FC4004" w:rsidRDefault="006E0BA1">
      <w:pPr>
        <w:numPr>
          <w:ilvl w:val="0"/>
          <w:numId w:val="2"/>
        </w:numPr>
        <w:rPr>
          <w:rFonts w:ascii="Calibri" w:hAnsi="Calibri"/>
          <w:sz w:val="20"/>
          <w:szCs w:val="20"/>
        </w:rPr>
      </w:pPr>
      <w:r>
        <w:rPr>
          <w:rFonts w:ascii="Calibri" w:hAnsi="Calibri"/>
          <w:sz w:val="20"/>
          <w:szCs w:val="20"/>
        </w:rPr>
        <w:t xml:space="preserve">Met een gemiddelde </w:t>
      </w:r>
      <w:r w:rsidR="00760D0C">
        <w:rPr>
          <w:rFonts w:ascii="Calibri" w:hAnsi="Calibri"/>
          <w:sz w:val="20"/>
          <w:szCs w:val="20"/>
        </w:rPr>
        <w:t>m²</w:t>
      </w:r>
      <w:r>
        <w:rPr>
          <w:rFonts w:ascii="Calibri" w:hAnsi="Calibri"/>
          <w:sz w:val="20"/>
          <w:szCs w:val="20"/>
        </w:rPr>
        <w:t>-prijs van € 21,01 is Amstelveen de gemeente met de hoogste huurprijzen</w:t>
      </w:r>
      <w:r w:rsidR="004649A0">
        <w:rPr>
          <w:rFonts w:ascii="Calibri" w:hAnsi="Calibri"/>
          <w:sz w:val="20"/>
          <w:szCs w:val="20"/>
        </w:rPr>
        <w:t>;</w:t>
      </w:r>
      <w:r>
        <w:rPr>
          <w:rFonts w:ascii="Calibri" w:hAnsi="Calibri"/>
          <w:sz w:val="20"/>
          <w:szCs w:val="20"/>
        </w:rPr>
        <w:t xml:space="preserve"> </w:t>
      </w:r>
    </w:p>
    <w:p w14:paraId="425ECFFA" w14:textId="77777777" w:rsidR="00FC4004" w:rsidRDefault="006E0BA1">
      <w:pPr>
        <w:numPr>
          <w:ilvl w:val="0"/>
          <w:numId w:val="2"/>
        </w:numPr>
        <w:rPr>
          <w:rFonts w:ascii="Calibri" w:hAnsi="Calibri"/>
          <w:sz w:val="20"/>
          <w:szCs w:val="20"/>
        </w:rPr>
      </w:pPr>
      <w:r>
        <w:rPr>
          <w:rFonts w:ascii="Calibri" w:hAnsi="Calibri"/>
          <w:sz w:val="20"/>
          <w:szCs w:val="20"/>
        </w:rPr>
        <w:t xml:space="preserve">79% van alle transacties valt afgelopen kwartaal in het kale huursegment, 14% zijn gestoffeerde en 7% gemeubileerde woningen. </w:t>
      </w:r>
    </w:p>
    <w:p w14:paraId="425ECFFB" w14:textId="77777777" w:rsidR="00FC4004" w:rsidRDefault="00FC4004">
      <w:pPr>
        <w:ind w:left="360"/>
        <w:rPr>
          <w:rFonts w:ascii="Calibri" w:eastAsia="Calibri" w:hAnsi="Calibri" w:cs="Calibri"/>
          <w:color w:val="FF0000"/>
          <w:sz w:val="20"/>
          <w:szCs w:val="20"/>
          <w:u w:color="FF0000"/>
        </w:rPr>
      </w:pPr>
    </w:p>
    <w:p w14:paraId="425ECFFC" w14:textId="77777777" w:rsidR="00FC4004" w:rsidRDefault="006E0BA1">
      <w:pPr>
        <w:rPr>
          <w:rFonts w:ascii="Calibri" w:eastAsia="Calibri" w:hAnsi="Calibri" w:cs="Calibri"/>
          <w:b/>
          <w:bCs/>
          <w:sz w:val="20"/>
          <w:szCs w:val="20"/>
        </w:rPr>
      </w:pPr>
      <w:r>
        <w:rPr>
          <w:rFonts w:ascii="Calibri" w:hAnsi="Calibri"/>
          <w:b/>
          <w:bCs/>
          <w:sz w:val="20"/>
          <w:szCs w:val="20"/>
        </w:rPr>
        <w:t>Gemeubileerd en gestoffeerd segment</w:t>
      </w:r>
    </w:p>
    <w:p w14:paraId="1FBABE69" w14:textId="4D1C18D9" w:rsidR="00230048" w:rsidRDefault="002341AC" w:rsidP="00230048">
      <w:pPr>
        <w:numPr>
          <w:ilvl w:val="0"/>
          <w:numId w:val="2"/>
        </w:numPr>
        <w:rPr>
          <w:rFonts w:ascii="Calibri" w:hAnsi="Calibri"/>
          <w:sz w:val="20"/>
          <w:szCs w:val="20"/>
        </w:rPr>
      </w:pPr>
      <w:r w:rsidRPr="002341AC">
        <w:rPr>
          <w:rFonts w:ascii="Calibri" w:hAnsi="Calibri"/>
          <w:sz w:val="20"/>
          <w:szCs w:val="20"/>
        </w:rPr>
        <w:t xml:space="preserve">In beide segmenten is de gemiddelde huurprijs per </w:t>
      </w:r>
      <w:r w:rsidR="00760D0C">
        <w:rPr>
          <w:rFonts w:ascii="Calibri" w:hAnsi="Calibri"/>
          <w:sz w:val="20"/>
          <w:szCs w:val="20"/>
        </w:rPr>
        <w:t xml:space="preserve">m² </w:t>
      </w:r>
      <w:r w:rsidRPr="002341AC">
        <w:rPr>
          <w:rFonts w:ascii="Calibri" w:hAnsi="Calibri"/>
          <w:sz w:val="20"/>
          <w:szCs w:val="20"/>
        </w:rPr>
        <w:t>gestegen ten opzichte van een jaar eerder. Voor gestoffeerde woningen was de stijging 2</w:t>
      </w:r>
      <w:r w:rsidR="008C2513">
        <w:rPr>
          <w:rFonts w:ascii="Calibri" w:hAnsi="Calibri"/>
          <w:sz w:val="20"/>
          <w:szCs w:val="20"/>
        </w:rPr>
        <w:t>,</w:t>
      </w:r>
      <w:r w:rsidRPr="002341AC">
        <w:rPr>
          <w:rFonts w:ascii="Calibri" w:hAnsi="Calibri"/>
          <w:sz w:val="20"/>
          <w:szCs w:val="20"/>
        </w:rPr>
        <w:t>7% en voor gemeubileerde woningen 8,0</w:t>
      </w:r>
      <w:r w:rsidR="007E507B" w:rsidRPr="002341AC">
        <w:rPr>
          <w:rFonts w:ascii="Calibri" w:hAnsi="Calibri"/>
          <w:sz w:val="20"/>
          <w:szCs w:val="20"/>
        </w:rPr>
        <w:t>%</w:t>
      </w:r>
      <w:r w:rsidR="007E507B">
        <w:rPr>
          <w:rFonts w:ascii="Calibri" w:hAnsi="Calibri"/>
          <w:sz w:val="20"/>
          <w:szCs w:val="20"/>
        </w:rPr>
        <w:t>;</w:t>
      </w:r>
    </w:p>
    <w:p w14:paraId="425ECFFE" w14:textId="70C31F3B" w:rsidR="00FC4004" w:rsidRPr="00230048" w:rsidRDefault="002341AC" w:rsidP="00230048">
      <w:pPr>
        <w:numPr>
          <w:ilvl w:val="0"/>
          <w:numId w:val="2"/>
        </w:numPr>
        <w:rPr>
          <w:rFonts w:ascii="Calibri" w:hAnsi="Calibri"/>
          <w:sz w:val="20"/>
          <w:szCs w:val="20"/>
        </w:rPr>
      </w:pPr>
      <w:r w:rsidRPr="00230048">
        <w:rPr>
          <w:rFonts w:ascii="Calibri" w:hAnsi="Calibri"/>
          <w:sz w:val="20"/>
          <w:szCs w:val="20"/>
        </w:rPr>
        <w:t>In het gestoffeerde deel van de markt bedraagt de gemiddelde vierkante meterprijs van verhuurd</w:t>
      </w:r>
      <w:r w:rsidR="004E2931">
        <w:rPr>
          <w:rFonts w:ascii="Calibri" w:hAnsi="Calibri"/>
          <w:sz w:val="20"/>
          <w:szCs w:val="20"/>
        </w:rPr>
        <w:t>e</w:t>
      </w:r>
      <w:r w:rsidRPr="00230048">
        <w:rPr>
          <w:rFonts w:ascii="Calibri" w:hAnsi="Calibri"/>
          <w:sz w:val="20"/>
          <w:szCs w:val="20"/>
        </w:rPr>
        <w:t xml:space="preserve"> woningen in het tweede kwartaal van dit jaar €18,51 </w:t>
      </w:r>
      <w:r w:rsidR="004E2931">
        <w:rPr>
          <w:rFonts w:ascii="Calibri" w:hAnsi="Calibri"/>
          <w:sz w:val="20"/>
          <w:szCs w:val="20"/>
        </w:rPr>
        <w:t xml:space="preserve">en </w:t>
      </w:r>
      <w:r w:rsidRPr="00230048">
        <w:rPr>
          <w:rFonts w:ascii="Calibri" w:hAnsi="Calibri"/>
          <w:sz w:val="20"/>
          <w:szCs w:val="20"/>
        </w:rPr>
        <w:t>voor gemeubileerde woningen is dit €21,95.</w:t>
      </w:r>
      <w:r w:rsidR="00230048">
        <w:rPr>
          <w:rFonts w:ascii="Calibri" w:hAnsi="Calibri"/>
          <w:sz w:val="20"/>
          <w:szCs w:val="20"/>
        </w:rPr>
        <w:br/>
      </w:r>
    </w:p>
    <w:p w14:paraId="425ECFFF" w14:textId="2E150783" w:rsidR="00FC4004" w:rsidRDefault="006E0BA1">
      <w:pPr>
        <w:rPr>
          <w:rFonts w:ascii="Calibri" w:eastAsia="Calibri" w:hAnsi="Calibri" w:cs="Calibri"/>
          <w:sz w:val="20"/>
          <w:szCs w:val="20"/>
        </w:rPr>
      </w:pPr>
      <w:r>
        <w:rPr>
          <w:rFonts w:ascii="Calibri" w:hAnsi="Calibri"/>
          <w:b/>
          <w:bCs/>
          <w:sz w:val="20"/>
          <w:szCs w:val="20"/>
        </w:rPr>
        <w:t>Representatieve landelijke dekking</w:t>
      </w:r>
      <w:r>
        <w:rPr>
          <w:rFonts w:ascii="Calibri" w:eastAsia="Calibri" w:hAnsi="Calibri" w:cs="Calibri"/>
          <w:b/>
          <w:bCs/>
          <w:sz w:val="20"/>
          <w:szCs w:val="20"/>
        </w:rPr>
        <w:br/>
      </w:r>
      <w:r>
        <w:rPr>
          <w:rFonts w:ascii="Calibri" w:hAnsi="Calibri"/>
          <w:sz w:val="20"/>
          <w:szCs w:val="20"/>
        </w:rPr>
        <w:t xml:space="preserve">De huurmarktcijfers van VGM NL </w:t>
      </w:r>
      <w:r w:rsidR="009641FB">
        <w:rPr>
          <w:rFonts w:ascii="Calibri" w:hAnsi="Calibri"/>
          <w:sz w:val="20"/>
          <w:szCs w:val="20"/>
        </w:rPr>
        <w:t xml:space="preserve">en </w:t>
      </w:r>
      <w:r>
        <w:rPr>
          <w:rFonts w:ascii="Calibri" w:hAnsi="Calibri"/>
          <w:sz w:val="20"/>
          <w:szCs w:val="20"/>
        </w:rPr>
        <w:t>NVM ontstaan uit circa 50.000 huurtransacties in de vrije sector op jaarbasis. Dit is een marktaandeel van ongeveer 50%. De samenstelling van de transacties geeft een representatief beeld van de onderverdeling in de totale Nederlandse vrije sector huurmarkt. Ruim 75% van de transacties is kale huur, circa 15% is gestoffeerd en 8% is gemeubileerd en geeft daardoor met een landelijke dekking een betrouwbaarder beeld voor geheel Nederland. In de cijfers zit doorgaans een kleine 20% nieuwbouw huurwoningen wat eveneens een goede afspiegeling van de huidige marktsituatie is.</w:t>
      </w:r>
    </w:p>
    <w:p w14:paraId="425ED000" w14:textId="77777777" w:rsidR="00FC4004" w:rsidRDefault="00FC4004">
      <w:pPr>
        <w:rPr>
          <w:rFonts w:ascii="Calibri" w:eastAsia="Calibri" w:hAnsi="Calibri" w:cs="Calibri"/>
          <w:b/>
          <w:bCs/>
          <w:sz w:val="20"/>
          <w:szCs w:val="20"/>
        </w:rPr>
      </w:pPr>
    </w:p>
    <w:p w14:paraId="425ED001" w14:textId="77777777" w:rsidR="00FC4004" w:rsidRDefault="006E0BA1">
      <w:pPr>
        <w:rPr>
          <w:rFonts w:ascii="Calibri" w:eastAsia="Calibri" w:hAnsi="Calibri" w:cs="Calibri"/>
          <w:b/>
          <w:bCs/>
          <w:sz w:val="20"/>
          <w:szCs w:val="20"/>
        </w:rPr>
      </w:pPr>
      <w:r>
        <w:rPr>
          <w:rFonts w:ascii="Calibri" w:hAnsi="Calibri"/>
          <w:b/>
          <w:bCs/>
          <w:sz w:val="20"/>
          <w:szCs w:val="20"/>
        </w:rPr>
        <w:t>Sinds 2014</w:t>
      </w:r>
    </w:p>
    <w:p w14:paraId="425ED002" w14:textId="77777777" w:rsidR="00FC4004" w:rsidRDefault="006E0BA1">
      <w:pPr>
        <w:rPr>
          <w:rFonts w:ascii="Calibri" w:eastAsia="Calibri" w:hAnsi="Calibri" w:cs="Calibri"/>
          <w:sz w:val="20"/>
          <w:szCs w:val="20"/>
        </w:rPr>
      </w:pPr>
      <w:r>
        <w:rPr>
          <w:rFonts w:ascii="Calibri" w:hAnsi="Calibri"/>
          <w:sz w:val="20"/>
          <w:szCs w:val="20"/>
        </w:rPr>
        <w:t xml:space="preserve">VGM NL en NVM registreren samen sinds 2014 de transactiedata van huurwoningen. Viermaal per jaar brengen zij de huurmarktcijfers in de vrije sector huurwoningmarkt uit. De data zijn gebaseerd op transacties via grote partijen die langjarig in de huurwoningmarkt beleggen. Deze partijen zijn minder op zoek naar korte termijn rendement en de prijzen zijn over het algemeen stabieler. </w:t>
      </w:r>
    </w:p>
    <w:p w14:paraId="425ED003" w14:textId="77777777" w:rsidR="00FC4004" w:rsidRDefault="00FC4004">
      <w:pPr>
        <w:rPr>
          <w:rFonts w:ascii="Calibri" w:eastAsia="Calibri" w:hAnsi="Calibri" w:cs="Calibri"/>
          <w:sz w:val="20"/>
          <w:szCs w:val="20"/>
        </w:rPr>
      </w:pPr>
    </w:p>
    <w:p w14:paraId="425ED004" w14:textId="79ADF066" w:rsidR="00FC4004" w:rsidRDefault="006E0BA1">
      <w:pPr>
        <w:rPr>
          <w:rFonts w:ascii="Calibri" w:eastAsia="Calibri" w:hAnsi="Calibri" w:cs="Calibri"/>
          <w:sz w:val="20"/>
          <w:szCs w:val="20"/>
        </w:rPr>
      </w:pPr>
      <w:r>
        <w:rPr>
          <w:rFonts w:ascii="Calibri" w:hAnsi="Calibri"/>
          <w:sz w:val="20"/>
          <w:szCs w:val="20"/>
        </w:rPr>
        <w:t xml:space="preserve">Klik </w:t>
      </w:r>
      <w:hyperlink r:id="rId11" w:history="1">
        <w:r>
          <w:rPr>
            <w:rStyle w:val="Hyperlink0"/>
          </w:rPr>
          <w:t>hier</w:t>
        </w:r>
      </w:hyperlink>
      <w:r>
        <w:rPr>
          <w:rFonts w:ascii="Calibri" w:hAnsi="Calibri"/>
          <w:sz w:val="20"/>
          <w:szCs w:val="20"/>
        </w:rPr>
        <w:t xml:space="preserve"> voor de bijbehorende marktrapportage met betrekking tot de mutaties in de vrije sector huurwoningmarkt in het </w:t>
      </w:r>
      <w:r w:rsidR="00D74DFC">
        <w:rPr>
          <w:rFonts w:ascii="Calibri" w:hAnsi="Calibri"/>
          <w:sz w:val="20"/>
          <w:szCs w:val="20"/>
        </w:rPr>
        <w:t>2</w:t>
      </w:r>
      <w:r>
        <w:rPr>
          <w:rFonts w:ascii="Calibri" w:hAnsi="Calibri"/>
          <w:sz w:val="20"/>
          <w:szCs w:val="20"/>
          <w:vertAlign w:val="superscript"/>
        </w:rPr>
        <w:t>e</w:t>
      </w:r>
      <w:r>
        <w:rPr>
          <w:rFonts w:ascii="Calibri" w:hAnsi="Calibri"/>
          <w:sz w:val="20"/>
          <w:szCs w:val="20"/>
        </w:rPr>
        <w:t xml:space="preserve"> kwartaal van 2022. </w:t>
      </w:r>
    </w:p>
    <w:p w14:paraId="425ED006" w14:textId="23AF6DCE" w:rsidR="00FC4004" w:rsidRDefault="00D74DFC">
      <w:pPr>
        <w:rPr>
          <w:rFonts w:ascii="Calibri" w:eastAsia="Calibri" w:hAnsi="Calibri" w:cs="Calibri"/>
          <w:b/>
          <w:bCs/>
          <w:sz w:val="20"/>
          <w:szCs w:val="20"/>
        </w:rPr>
      </w:pPr>
      <w:r>
        <w:rPr>
          <w:rFonts w:ascii="Calibri" w:hAnsi="Calibri"/>
          <w:sz w:val="20"/>
          <w:szCs w:val="20"/>
        </w:rPr>
        <w:t>==========================================================================================</w:t>
      </w:r>
      <w:r w:rsidR="006E0BA1">
        <w:rPr>
          <w:rFonts w:ascii="Calibri" w:hAnsi="Calibri"/>
          <w:b/>
          <w:bCs/>
          <w:sz w:val="20"/>
          <w:szCs w:val="20"/>
        </w:rPr>
        <w:t>Noot voor de redactie</w:t>
      </w:r>
    </w:p>
    <w:p w14:paraId="425ED007" w14:textId="77777777" w:rsidR="00FC4004" w:rsidRPr="00B610BD" w:rsidRDefault="006E0BA1">
      <w:r>
        <w:rPr>
          <w:rFonts w:ascii="Calibri" w:hAnsi="Calibri"/>
          <w:sz w:val="20"/>
          <w:szCs w:val="20"/>
        </w:rPr>
        <w:t xml:space="preserve">Voor meer informatie, ook over de lokale huurmarkt(cijfers) kunt u contact opnemen met Marc van der Lee, NVM, tel. 06 2147 7627. </w:t>
      </w:r>
      <w:r w:rsidRPr="00B610BD">
        <w:rPr>
          <w:rFonts w:ascii="Calibri" w:hAnsi="Calibri"/>
          <w:sz w:val="20"/>
          <w:szCs w:val="20"/>
        </w:rPr>
        <w:t xml:space="preserve">E-mail: </w:t>
      </w:r>
      <w:hyperlink r:id="rId12" w:history="1">
        <w:r w:rsidRPr="00B610BD">
          <w:rPr>
            <w:rStyle w:val="Hyperlink1"/>
            <w:lang w:val="nl-NL"/>
          </w:rPr>
          <w:t>m.vanderlee@nvm.nl</w:t>
        </w:r>
      </w:hyperlink>
      <w:r w:rsidRPr="00B610BD">
        <w:rPr>
          <w:rFonts w:ascii="Calibri" w:hAnsi="Calibri"/>
          <w:sz w:val="20"/>
          <w:szCs w:val="20"/>
        </w:rPr>
        <w:t xml:space="preserve"> of met Ilse Kaandorp, VGM NL, tel. 030 3035 220 of </w:t>
      </w:r>
      <w:r w:rsidRPr="00B610BD">
        <w:rPr>
          <w:rFonts w:ascii="Calibri" w:eastAsia="Calibri" w:hAnsi="Calibri" w:cs="Calibri"/>
          <w:sz w:val="20"/>
          <w:szCs w:val="20"/>
        </w:rPr>
        <w:br/>
      </w:r>
      <w:r w:rsidRPr="00B610BD">
        <w:rPr>
          <w:rFonts w:ascii="Calibri" w:hAnsi="Calibri"/>
          <w:sz w:val="20"/>
          <w:szCs w:val="20"/>
        </w:rPr>
        <w:t xml:space="preserve">06 1089 2507. E-mail: </w:t>
      </w:r>
      <w:hyperlink r:id="rId13" w:history="1">
        <w:r w:rsidRPr="00B610BD">
          <w:rPr>
            <w:rStyle w:val="Hyperlink1"/>
            <w:lang w:val="nl-NL"/>
          </w:rPr>
          <w:t>i.kaandorp@vgm.nl</w:t>
        </w:r>
      </w:hyperlink>
      <w:r w:rsidRPr="00B610BD">
        <w:rPr>
          <w:rFonts w:ascii="Calibri" w:hAnsi="Calibri"/>
          <w:sz w:val="20"/>
          <w:szCs w:val="20"/>
        </w:rPr>
        <w:t>.</w:t>
      </w:r>
    </w:p>
    <w:sectPr w:rsidR="00FC4004" w:rsidRPr="00B610BD">
      <w:headerReference w:type="default" r:id="rId14"/>
      <w:footerReference w:type="default" r:id="rId15"/>
      <w:pgSz w:w="11900" w:h="16840"/>
      <w:pgMar w:top="540" w:right="1418" w:bottom="125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143A8" w14:textId="77777777" w:rsidR="00F41990" w:rsidRDefault="00F41990">
      <w:r>
        <w:separator/>
      </w:r>
    </w:p>
  </w:endnote>
  <w:endnote w:type="continuationSeparator" w:id="0">
    <w:p w14:paraId="3EF124E9" w14:textId="77777777" w:rsidR="00F41990" w:rsidRDefault="00F4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i">
    <w:panose1 w:val="00000500000000000000"/>
    <w:charset w:val="00"/>
    <w:family w:val="auto"/>
    <w:pitch w:val="variable"/>
    <w:sig w:usb0="A00000E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D00D" w14:textId="77777777" w:rsidR="00FC4004" w:rsidRDefault="00FC4004">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2A515" w14:textId="77777777" w:rsidR="00F41990" w:rsidRDefault="00F41990">
      <w:r>
        <w:separator/>
      </w:r>
    </w:p>
  </w:footnote>
  <w:footnote w:type="continuationSeparator" w:id="0">
    <w:p w14:paraId="1DBFC66F" w14:textId="77777777" w:rsidR="00F41990" w:rsidRDefault="00F41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D00C" w14:textId="77777777" w:rsidR="00FC4004" w:rsidRDefault="006E0BA1">
    <w:pPr>
      <w:ind w:left="3540"/>
    </w:pPr>
    <w:r>
      <w:rPr>
        <w:noProof/>
      </w:rPr>
      <w:drawing>
        <wp:anchor distT="152400" distB="152400" distL="152400" distR="152400" simplePos="0" relativeHeight="251658240" behindDoc="1" locked="0" layoutInCell="1" allowOverlap="1" wp14:anchorId="425ED00E" wp14:editId="425ED00F">
          <wp:simplePos x="0" y="0"/>
          <wp:positionH relativeFrom="page">
            <wp:posOffset>681355</wp:posOffset>
          </wp:positionH>
          <wp:positionV relativeFrom="page">
            <wp:posOffset>257175</wp:posOffset>
          </wp:positionV>
          <wp:extent cx="958215" cy="1209675"/>
          <wp:effectExtent l="0" t="0" r="0" b="0"/>
          <wp:wrapNone/>
          <wp:docPr id="1073741825" name="officeArt object" descr="Afbeelding 12"/>
          <wp:cNvGraphicFramePr/>
          <a:graphic xmlns:a="http://schemas.openxmlformats.org/drawingml/2006/main">
            <a:graphicData uri="http://schemas.openxmlformats.org/drawingml/2006/picture">
              <pic:pic xmlns:pic="http://schemas.openxmlformats.org/drawingml/2006/picture">
                <pic:nvPicPr>
                  <pic:cNvPr id="1073741825" name="Afbeelding 12" descr="Afbeelding 12"/>
                  <pic:cNvPicPr>
                    <a:picLocks noChangeAspect="1"/>
                  </pic:cNvPicPr>
                </pic:nvPicPr>
                <pic:blipFill>
                  <a:blip r:embed="rId1"/>
                  <a:stretch>
                    <a:fillRect/>
                  </a:stretch>
                </pic:blipFill>
                <pic:spPr>
                  <a:xfrm>
                    <a:off x="0" y="0"/>
                    <a:ext cx="958215" cy="1209675"/>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425ED010" wp14:editId="425ED011">
          <wp:simplePos x="0" y="0"/>
          <wp:positionH relativeFrom="page">
            <wp:posOffset>1605915</wp:posOffset>
          </wp:positionH>
          <wp:positionV relativeFrom="page">
            <wp:posOffset>584200</wp:posOffset>
          </wp:positionV>
          <wp:extent cx="1485900" cy="714375"/>
          <wp:effectExtent l="0" t="0" r="0" b="0"/>
          <wp:wrapNone/>
          <wp:docPr id="1073741826" name="officeArt object" descr="Afbeelding 2"/>
          <wp:cNvGraphicFramePr/>
          <a:graphic xmlns:a="http://schemas.openxmlformats.org/drawingml/2006/main">
            <a:graphicData uri="http://schemas.openxmlformats.org/drawingml/2006/picture">
              <pic:pic xmlns:pic="http://schemas.openxmlformats.org/drawingml/2006/picture">
                <pic:nvPicPr>
                  <pic:cNvPr id="1073741826" name="Afbeelding 2" descr="Afbeelding 2"/>
                  <pic:cNvPicPr>
                    <a:picLocks noChangeAspect="1"/>
                  </pic:cNvPicPr>
                </pic:nvPicPr>
                <pic:blipFill>
                  <a:blip r:embed="rId2"/>
                  <a:stretch>
                    <a:fillRect/>
                  </a:stretch>
                </pic:blipFill>
                <pic:spPr>
                  <a:xfrm>
                    <a:off x="0" y="0"/>
                    <a:ext cx="1485900" cy="714375"/>
                  </a:xfrm>
                  <a:prstGeom prst="rect">
                    <a:avLst/>
                  </a:prstGeom>
                  <a:ln w="12700" cap="flat">
                    <a:noFill/>
                    <a:miter lim="400000"/>
                  </a:ln>
                  <a:effectLst/>
                </pic:spPr>
              </pic:pic>
            </a:graphicData>
          </a:graphic>
        </wp:anchor>
      </w:drawing>
    </w:r>
    <w:r>
      <w:rPr>
        <w:rFonts w:ascii="Muli" w:eastAsia="Muli" w:hAnsi="Muli" w:cs="Muli"/>
        <w:b/>
        <w:bCs/>
        <w:color w:val="005AD2"/>
        <w:sz w:val="44"/>
        <w:szCs w:val="44"/>
        <w:u w:color="005AD2"/>
      </w:rPr>
      <w:br/>
    </w:r>
    <w:r>
      <w:rPr>
        <w:rFonts w:ascii="Muli" w:eastAsia="Muli" w:hAnsi="Muli" w:cs="Muli"/>
        <w:b/>
        <w:bCs/>
        <w:color w:val="005AD2"/>
        <w:sz w:val="44"/>
        <w:szCs w:val="44"/>
        <w:u w:color="005AD2"/>
      </w:rPr>
      <w:tab/>
    </w:r>
    <w:r>
      <w:rPr>
        <w:rFonts w:ascii="Muli" w:eastAsia="Muli" w:hAnsi="Muli" w:cs="Muli"/>
        <w:b/>
        <w:bCs/>
        <w:color w:val="005AD2"/>
        <w:sz w:val="44"/>
        <w:szCs w:val="44"/>
        <w:u w:color="005AD2"/>
      </w:rPr>
      <w:tab/>
    </w:r>
    <w:r>
      <w:rPr>
        <w:rFonts w:ascii="Muli" w:eastAsia="Muli" w:hAnsi="Muli" w:cs="Muli"/>
        <w:b/>
        <w:bCs/>
        <w:color w:val="005AD2"/>
        <w:sz w:val="44"/>
        <w:szCs w:val="44"/>
        <w:u w:color="005AD2"/>
      </w:rPr>
      <w:tab/>
      <w:t>Persbericht</w:t>
    </w:r>
    <w:r>
      <w:rPr>
        <w:rFonts w:ascii="Muli" w:eastAsia="Muli" w:hAnsi="Muli" w:cs="Muli"/>
        <w:b/>
        <w:bCs/>
        <w:color w:val="548DD4"/>
        <w:sz w:val="40"/>
        <w:szCs w:val="40"/>
        <w:u w:color="548DD4"/>
      </w:rPr>
      <w:tab/>
    </w:r>
    <w:r>
      <w:rPr>
        <w:rFonts w:ascii="Muli" w:eastAsia="Muli" w:hAnsi="Muli" w:cs="Muli"/>
        <w:b/>
        <w:bCs/>
        <w:color w:val="548DD4"/>
        <w:sz w:val="40"/>
        <w:szCs w:val="40"/>
        <w:u w:color="548DD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585D66"/>
    <w:multiLevelType w:val="hybridMultilevel"/>
    <w:tmpl w:val="9DDC8844"/>
    <w:numStyleLink w:val="Gemporteerdestijl1"/>
  </w:abstractNum>
  <w:abstractNum w:abstractNumId="1" w15:restartNumberingAfterBreak="0">
    <w:nsid w:val="5A885194"/>
    <w:multiLevelType w:val="hybridMultilevel"/>
    <w:tmpl w:val="9DDC8844"/>
    <w:styleLink w:val="Gemporteerdestijl1"/>
    <w:lvl w:ilvl="0" w:tplc="1A78F31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8E319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64C0C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F20B6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4C932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76198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BC3D9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C0E87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42AE0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8AE3B89"/>
    <w:multiLevelType w:val="hybridMultilevel"/>
    <w:tmpl w:val="72B028F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52916491">
    <w:abstractNumId w:val="1"/>
  </w:num>
  <w:num w:numId="2" w16cid:durableId="1195312172">
    <w:abstractNumId w:val="0"/>
  </w:num>
  <w:num w:numId="3" w16cid:durableId="841047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4"/>
    <w:rsid w:val="00056928"/>
    <w:rsid w:val="0007728D"/>
    <w:rsid w:val="00082AF2"/>
    <w:rsid w:val="000A0312"/>
    <w:rsid w:val="000B2DBE"/>
    <w:rsid w:val="000D107B"/>
    <w:rsid w:val="000D13E6"/>
    <w:rsid w:val="00102784"/>
    <w:rsid w:val="001370D6"/>
    <w:rsid w:val="0015267E"/>
    <w:rsid w:val="001D05A6"/>
    <w:rsid w:val="0020076F"/>
    <w:rsid w:val="00206487"/>
    <w:rsid w:val="00214751"/>
    <w:rsid w:val="00230048"/>
    <w:rsid w:val="002341AC"/>
    <w:rsid w:val="00237723"/>
    <w:rsid w:val="002631F4"/>
    <w:rsid w:val="00286F7E"/>
    <w:rsid w:val="002A63EB"/>
    <w:rsid w:val="002B0892"/>
    <w:rsid w:val="002B1563"/>
    <w:rsid w:val="002B2C69"/>
    <w:rsid w:val="002C05A7"/>
    <w:rsid w:val="002D04FA"/>
    <w:rsid w:val="003056C3"/>
    <w:rsid w:val="0031685D"/>
    <w:rsid w:val="00375A3A"/>
    <w:rsid w:val="003A0EC4"/>
    <w:rsid w:val="003C556F"/>
    <w:rsid w:val="003E62CB"/>
    <w:rsid w:val="00420C82"/>
    <w:rsid w:val="004649A0"/>
    <w:rsid w:val="00492085"/>
    <w:rsid w:val="004C52A7"/>
    <w:rsid w:val="004E2931"/>
    <w:rsid w:val="004E54CE"/>
    <w:rsid w:val="004F657C"/>
    <w:rsid w:val="00511E64"/>
    <w:rsid w:val="005A38DC"/>
    <w:rsid w:val="005B524F"/>
    <w:rsid w:val="005D3848"/>
    <w:rsid w:val="005E3118"/>
    <w:rsid w:val="006513E9"/>
    <w:rsid w:val="00656437"/>
    <w:rsid w:val="0068465C"/>
    <w:rsid w:val="00693AF5"/>
    <w:rsid w:val="006A5220"/>
    <w:rsid w:val="006C0913"/>
    <w:rsid w:val="006D1ED3"/>
    <w:rsid w:val="006D65D3"/>
    <w:rsid w:val="006E0BA1"/>
    <w:rsid w:val="006F3EF1"/>
    <w:rsid w:val="006F40E5"/>
    <w:rsid w:val="007205EC"/>
    <w:rsid w:val="00760D0C"/>
    <w:rsid w:val="0078771A"/>
    <w:rsid w:val="0079540A"/>
    <w:rsid w:val="007A1B55"/>
    <w:rsid w:val="007A3AA4"/>
    <w:rsid w:val="007B2033"/>
    <w:rsid w:val="007E425C"/>
    <w:rsid w:val="007E507B"/>
    <w:rsid w:val="00814FD0"/>
    <w:rsid w:val="00823716"/>
    <w:rsid w:val="00871937"/>
    <w:rsid w:val="0087445D"/>
    <w:rsid w:val="00886847"/>
    <w:rsid w:val="0089349D"/>
    <w:rsid w:val="008A47B7"/>
    <w:rsid w:val="008C2513"/>
    <w:rsid w:val="008D37B8"/>
    <w:rsid w:val="008D6CEB"/>
    <w:rsid w:val="008E0AB5"/>
    <w:rsid w:val="008E4ABB"/>
    <w:rsid w:val="008F6558"/>
    <w:rsid w:val="008F7152"/>
    <w:rsid w:val="00915F6B"/>
    <w:rsid w:val="0093114A"/>
    <w:rsid w:val="00952D92"/>
    <w:rsid w:val="009641FB"/>
    <w:rsid w:val="0099540C"/>
    <w:rsid w:val="00A77019"/>
    <w:rsid w:val="00AB3041"/>
    <w:rsid w:val="00AC125B"/>
    <w:rsid w:val="00B54350"/>
    <w:rsid w:val="00B610BD"/>
    <w:rsid w:val="00B827C4"/>
    <w:rsid w:val="00BC6D9A"/>
    <w:rsid w:val="00BF79EE"/>
    <w:rsid w:val="00C54D56"/>
    <w:rsid w:val="00C8400E"/>
    <w:rsid w:val="00CE43AC"/>
    <w:rsid w:val="00D002D1"/>
    <w:rsid w:val="00D061E3"/>
    <w:rsid w:val="00D17E4C"/>
    <w:rsid w:val="00D23AC2"/>
    <w:rsid w:val="00D74DFC"/>
    <w:rsid w:val="00D762EB"/>
    <w:rsid w:val="00D95C37"/>
    <w:rsid w:val="00DA2E73"/>
    <w:rsid w:val="00DC0F6D"/>
    <w:rsid w:val="00DD580E"/>
    <w:rsid w:val="00DF2793"/>
    <w:rsid w:val="00E44E13"/>
    <w:rsid w:val="00E777AE"/>
    <w:rsid w:val="00EA0E9B"/>
    <w:rsid w:val="00EA5A99"/>
    <w:rsid w:val="00EB4EE5"/>
    <w:rsid w:val="00EF4D6C"/>
    <w:rsid w:val="00F05A03"/>
    <w:rsid w:val="00F1145E"/>
    <w:rsid w:val="00F16D1B"/>
    <w:rsid w:val="00F239C6"/>
    <w:rsid w:val="00F41990"/>
    <w:rsid w:val="00F94970"/>
    <w:rsid w:val="00FC4004"/>
    <w:rsid w:val="00FE5F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ECFDE"/>
  <w15:docId w15:val="{A1A4B269-4A4F-405A-B185-4C6667A5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cs="Arial Unicode MS"/>
      <w:color w:val="000000"/>
      <w:sz w:val="24"/>
      <w:szCs w:val="24"/>
      <w:u w:color="000000"/>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Gemporteerdestijl1">
    <w:name w:val="Geïmporteerde stijl 1"/>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sz w:val="20"/>
      <w:szCs w:val="20"/>
      <w:u w:val="single" w:color="0000FF"/>
    </w:rPr>
  </w:style>
  <w:style w:type="character" w:customStyle="1" w:styleId="Hyperlink1">
    <w:name w:val="Hyperlink.1"/>
    <w:basedOn w:val="Link"/>
    <w:rPr>
      <w:rFonts w:ascii="Calibri" w:eastAsia="Calibri" w:hAnsi="Calibri" w:cs="Calibri"/>
      <w:outline w:val="0"/>
      <w:color w:val="0000FF"/>
      <w:sz w:val="20"/>
      <w:szCs w:val="20"/>
      <w:u w:val="single" w:color="0000FF"/>
      <w:lang w:val="en-US"/>
    </w:r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rFonts w:cs="Arial Unicode MS"/>
      <w:color w:val="000000"/>
      <w:u w:color="000000"/>
      <w14:textOutline w14:w="0" w14:cap="flat" w14:cmpd="sng" w14:algn="ctr">
        <w14:noFill/>
        <w14:prstDash w14:val="solid"/>
        <w14:bevel/>
      </w14:textOutline>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9641FB"/>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9641FB"/>
    <w:rPr>
      <w:b/>
      <w:bCs/>
    </w:rPr>
  </w:style>
  <w:style w:type="character" w:customStyle="1" w:styleId="OnderwerpvanopmerkingChar">
    <w:name w:val="Onderwerp van opmerking Char"/>
    <w:basedOn w:val="TekstopmerkingChar"/>
    <w:link w:val="Onderwerpvanopmerking"/>
    <w:uiPriority w:val="99"/>
    <w:semiHidden/>
    <w:rsid w:val="009641FB"/>
    <w:rPr>
      <w:rFonts w:cs="Arial Unicode MS"/>
      <w:b/>
      <w:bCs/>
      <w:color w:val="000000"/>
      <w:u w:color="000000"/>
      <w14:textOutline w14:w="0" w14:cap="flat" w14:cmpd="sng" w14:algn="ctr">
        <w14:noFill/>
        <w14:prstDash w14:val="solid"/>
        <w14:bevel/>
      </w14:textOutline>
    </w:rPr>
  </w:style>
  <w:style w:type="paragraph" w:styleId="Ballontekst">
    <w:name w:val="Balloon Text"/>
    <w:basedOn w:val="Standaard"/>
    <w:link w:val="BallontekstChar"/>
    <w:uiPriority w:val="99"/>
    <w:semiHidden/>
    <w:unhideWhenUsed/>
    <w:rsid w:val="0010278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02784"/>
    <w:rPr>
      <w:rFonts w:ascii="Segoe UI" w:hAnsi="Segoe UI" w:cs="Segoe UI"/>
      <w:color w:val="000000"/>
      <w:sz w:val="18"/>
      <w:szCs w:val="18"/>
      <w:u w:color="000000"/>
      <w14:textOutline w14:w="0" w14:cap="flat" w14:cmpd="sng" w14:algn="ctr">
        <w14:noFill/>
        <w14:prstDash w14:val="solid"/>
        <w14:bevel/>
      </w14:textOutline>
    </w:rPr>
  </w:style>
  <w:style w:type="paragraph" w:styleId="Lijstalinea">
    <w:name w:val="List Paragraph"/>
    <w:basedOn w:val="Standaard"/>
    <w:uiPriority w:val="34"/>
    <w:qFormat/>
    <w:rsid w:val="002300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8926">
      <w:bodyDiv w:val="1"/>
      <w:marLeft w:val="0"/>
      <w:marRight w:val="0"/>
      <w:marTop w:val="0"/>
      <w:marBottom w:val="0"/>
      <w:divBdr>
        <w:top w:val="none" w:sz="0" w:space="0" w:color="auto"/>
        <w:left w:val="none" w:sz="0" w:space="0" w:color="auto"/>
        <w:bottom w:val="none" w:sz="0" w:space="0" w:color="auto"/>
        <w:right w:val="none" w:sz="0" w:space="0" w:color="auto"/>
      </w:divBdr>
    </w:div>
    <w:div w:id="1291011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kaandorp@vgm.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vanderlee@nvm.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gm.nl/kennisplatform/publicat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6970EE24F60F4FBB46D587093CDEA9" ma:contentTypeVersion="19" ma:contentTypeDescription="Een nieuw document maken." ma:contentTypeScope="" ma:versionID="c085bd4fcaf8c9a23bb6cca37e7f9ba7">
  <xsd:schema xmlns:xsd="http://www.w3.org/2001/XMLSchema" xmlns:xs="http://www.w3.org/2001/XMLSchema" xmlns:p="http://schemas.microsoft.com/office/2006/metadata/properties" xmlns:ns2="4d52a6a9-989d-47da-8f2b-49afb02ba840" xmlns:ns3="13d32952-056e-4649-b4ee-5cdcda0e72e2" targetNamespace="http://schemas.microsoft.com/office/2006/metadata/properties" ma:root="true" ma:fieldsID="a5653f2dc2687745abb8f51a988d5644" ns2:_="" ns3:_="">
    <xsd:import namespace="4d52a6a9-989d-47da-8f2b-49afb02ba840"/>
    <xsd:import namespace="13d32952-056e-4649-b4ee-5cdcda0e72e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2a6a9-989d-47da-8f2b-49afb02ba84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element name="TaxCatchAll" ma:index="26" nillable="true" ma:displayName="Taxonomy Catch All Column" ma:hidden="true" ma:list="{0aa89179-eb3d-490a-886b-022028383edf}" ma:internalName="TaxCatchAll" ma:showField="CatchAllData" ma:web="4d52a6a9-989d-47da-8f2b-49afb02ba8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32952-056e-4649-b4ee-5cdcda0e72e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2fb49009-788e-4783-94ba-0be1daef670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d32952-056e-4649-b4ee-5cdcda0e72e2">
      <Terms xmlns="http://schemas.microsoft.com/office/infopath/2007/PartnerControls"/>
    </lcf76f155ced4ddcb4097134ff3c332f>
    <TaxCatchAll xmlns="4d52a6a9-989d-47da-8f2b-49afb02ba8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88455-8513-4E95-80A2-6043E075C7D0}">
  <ds:schemaRefs>
    <ds:schemaRef ds:uri="http://schemas.microsoft.com/sharepoint/v3/contenttype/forms"/>
  </ds:schemaRefs>
</ds:datastoreItem>
</file>

<file path=customXml/itemProps2.xml><?xml version="1.0" encoding="utf-8"?>
<ds:datastoreItem xmlns:ds="http://schemas.openxmlformats.org/officeDocument/2006/customXml" ds:itemID="{C67017EF-6379-45DE-9A6F-5FC4F514AC2A}"/>
</file>

<file path=customXml/itemProps3.xml><?xml version="1.0" encoding="utf-8"?>
<ds:datastoreItem xmlns:ds="http://schemas.openxmlformats.org/officeDocument/2006/customXml" ds:itemID="{D0505F44-7A00-4344-BCA1-55A4663EBA7D}">
  <ds:schemaRefs>
    <ds:schemaRef ds:uri="http://schemas.microsoft.com/office/2006/metadata/properties"/>
    <ds:schemaRef ds:uri="http://schemas.microsoft.com/office/infopath/2007/PartnerControls"/>
    <ds:schemaRef ds:uri="13d32952-056e-4649-b4ee-5cdcda0e72e2"/>
    <ds:schemaRef ds:uri="4d52a6a9-989d-47da-8f2b-49afb02ba840"/>
    <ds:schemaRef ds:uri="03f57762-8992-4cdd-b775-7a966b84a31d"/>
    <ds:schemaRef ds:uri="c0ff1082-ee85-448e-a9f1-fe6701bb5e4d"/>
  </ds:schemaRefs>
</ds:datastoreItem>
</file>

<file path=customXml/itemProps4.xml><?xml version="1.0" encoding="utf-8"?>
<ds:datastoreItem xmlns:ds="http://schemas.openxmlformats.org/officeDocument/2006/customXml" ds:itemID="{F427A9AB-EBCE-4C27-BECF-018129B8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1220</Words>
  <Characters>6712</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VGM NL en NVM</dc:creator>
  <cp:lastModifiedBy>Diane Spanhak</cp:lastModifiedBy>
  <cp:revision>2</cp:revision>
  <dcterms:created xsi:type="dcterms:W3CDTF">2022-07-03T07:25:00Z</dcterms:created>
  <dcterms:modified xsi:type="dcterms:W3CDTF">2022-07-03T07:25:00Z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0x010100366970EE24F60F4FBB46D587093CDEA9</vt:lpwstr>
  </property>
  <property fmtid="{D5CDD505-2E9C-101B-9397-08002B2CF9AE}" pid="3" name="MSIP_Label_43f08ec5-d6d9-4227-8387-ccbfcb3632c4_Enabled">
    <vt:lpwstr>true</vt:lpwstr>
  </property>
  <property fmtid="{D5CDD505-2E9C-101B-9397-08002B2CF9AE}" pid="4" name="MSIP_Label_43f08ec5-d6d9-4227-8387-ccbfcb3632c4_SetDate">
    <vt:lpwstr>2022-06-30T21:31:09Z</vt:lpwstr>
  </property>
  <property fmtid="{D5CDD505-2E9C-101B-9397-08002B2CF9AE}" pid="5" name="MSIP_Label_43f08ec5-d6d9-4227-8387-ccbfcb3632c4_Method">
    <vt:lpwstr>Standard</vt:lpwstr>
  </property>
  <property fmtid="{D5CDD505-2E9C-101B-9397-08002B2CF9AE}" pid="6" name="MSIP_Label_43f08ec5-d6d9-4227-8387-ccbfcb3632c4_Name">
    <vt:lpwstr>Sweco Restricted</vt:lpwstr>
  </property>
  <property fmtid="{D5CDD505-2E9C-101B-9397-08002B2CF9AE}" pid="7" name="MSIP_Label_43f08ec5-d6d9-4227-8387-ccbfcb3632c4_SiteId">
    <vt:lpwstr>b7872ef0-9a00-4c18-8a4a-c7d25c778a9e</vt:lpwstr>
  </property>
  <property fmtid="{D5CDD505-2E9C-101B-9397-08002B2CF9AE}" pid="8" name="MSIP_Label_43f08ec5-d6d9-4227-8387-ccbfcb3632c4_ActionId">
    <vt:lpwstr>d3930d35-9d53-46f4-8fec-c56bc266ffa0</vt:lpwstr>
  </property>
  <property fmtid="{D5CDD505-2E9C-101B-9397-08002B2CF9AE}" pid="9" name="MSIP_Label_43f08ec5-d6d9-4227-8387-ccbfcb3632c4_ContentBits">
    <vt:lpwstr>0</vt:lpwstr>
  </property>
  <property fmtid="{D5CDD505-2E9C-101B-9397-08002B2CF9AE}" pid="10" name="MediaServiceImageTags">
    <vt:lpwstr/>
  </property>
</Properties>
</file>